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516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hint="eastAsia" w:ascii="宋体" w:hAnsi="宋体" w:eastAsia="宋体" w:cs="宋体"/>
                      <w:color w:val="000000" w:themeColor="text1"/>
                      <w:kern w:val="0"/>
                      <w:sz w:val="44"/>
                      <w:szCs w:val="44"/>
                    </w:rPr>
                  </w:pPr>
                  <w:r>
                    <w:rPr>
                      <w:rFonts w:hint="eastAsia" w:ascii="宋体" w:hAnsi="宋体" w:eastAsia="宋体" w:cs="宋体"/>
                      <w:color w:val="000000" w:themeColor="text1"/>
                      <w:kern w:val="0"/>
                      <w:sz w:val="44"/>
                      <w:szCs w:val="44"/>
                    </w:rPr>
                    <w:t>二〇二〇年八月</w:t>
                  </w:r>
                </w:p>
              </w:txbxContent>
            </v:textbox>
          </v:shape>
        </w:pict>
      </w:r>
      <w:r>
        <w:pict>
          <v:shape id="椭圆 8" o:spid="_x0000_s1051" o:spt="3" type="#_x0000_t3" style="position:absolute;left:0pt;margin-left:53.5pt;margin-top:232.45pt;height:121.95pt;width:121.95pt;z-index:251652096;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path/>
            <v:fill on="t" focussize="0,0"/>
            <v:stroke on="f" weight="1pt" joinstyle="miter"/>
            <v:imagedata o:title=""/>
            <o:lock v:ext="edit"/>
            <v:textbox>
              <w:txbxContent>
                <w:p/>
              </w:txbxContent>
            </v:textbox>
          </v:shape>
        </w:pict>
      </w:r>
      <w:r>
        <w:pict>
          <v:rect id="矩形 14" o:spid="_x0000_s1050" o:spt="1" style="position:absolute;left:0pt;margin-left:33.6pt;margin-top:256.75pt;height:69.6pt;width:160.65pt;z-index:25165721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5619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path/>
            <v:fill on="t" focussize="0,0"/>
            <v:stroke on="f" weight="1pt" joinstyle="miter"/>
            <v:imagedata o:title=""/>
            <o:lock v:ext="edit"/>
            <v:textbox>
              <w:txbxContent>
                <w:p/>
              </w:txbxContent>
            </v:textbox>
          </v:shape>
        </w:pict>
      </w:r>
      <w:r>
        <w:pict>
          <v:group id="_x0000_s1046" o:spid="_x0000_s1046" o:spt="203" style="position:absolute;left:0pt;margin-left:1.25pt;margin-top:821.7pt;height:21.45pt;width:595.25pt;z-index:251653120;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5414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pict>
          <v:group id="_x0000_s1043" o:spid="_x0000_s1043" o:spt="203" style="position:absolute;left:0pt;margin-left:-80.3pt;margin-top:111.25pt;height:69.6pt;width:600.25pt;z-index:-251666432;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宋体" w:hAnsi="宋体" w:eastAsia="宋体" w:cs="宋体"/>
          <w:color w:val="000000" w:themeColor="text1"/>
          <w:kern w:val="0"/>
          <w:sz w:val="44"/>
          <w:szCs w:val="44"/>
        </w:rPr>
      </w:pPr>
      <w:r>
        <w:rPr>
          <w:rFonts w:hint="eastAsia" w:ascii="宋体" w:hAnsi="宋体" w:eastAsia="宋体" w:cs="宋体"/>
          <w:color w:val="000000" w:themeColor="text1"/>
          <w:kern w:val="0"/>
          <w:sz w:val="44"/>
          <w:szCs w:val="44"/>
        </w:rPr>
        <w:t>阜城县工业和信息化局</w:t>
      </w:r>
    </w:p>
    <w:p>
      <w:pPr>
        <w:snapToGrid w:val="0"/>
        <w:jc w:val="center"/>
        <w:rPr>
          <w:rFonts w:hint="eastAsia" w:ascii="宋体" w:hAnsi="宋体" w:eastAsia="宋体" w:cs="宋体"/>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宋体" w:hAnsi="宋体" w:eastAsia="宋体" w:cs="宋体"/>
          <w:color w:val="000000" w:themeColor="text1"/>
          <w:kern w:val="0"/>
          <w:sz w:val="44"/>
          <w:szCs w:val="44"/>
        </w:rPr>
        <w:t>二〇二〇年八月</w:t>
      </w:r>
    </w:p>
    <w:p>
      <w:pPr>
        <w:widowControl/>
        <w:spacing w:line="600" w:lineRule="exact"/>
        <w:jc w:val="left"/>
        <w:rPr>
          <w:rFonts w:hint="eastAsia" w:ascii="宋体" w:hAnsi="宋体" w:eastAsia="宋体" w:cs="宋体"/>
          <w:bCs/>
          <w:sz w:val="32"/>
          <w:szCs w:val="32"/>
          <w:highlight w:val="yellow"/>
        </w:rPr>
      </w:pPr>
    </w:p>
    <w:p>
      <w:pPr>
        <w:widowControl/>
        <w:spacing w:line="600" w:lineRule="exact"/>
        <w:jc w:val="left"/>
        <w:rPr>
          <w:rFonts w:ascii="黑体" w:hAnsi="黑体" w:eastAsia="黑体" w:cs="黑体"/>
          <w:bCs/>
          <w:sz w:val="32"/>
          <w:szCs w:val="32"/>
          <w:highlight w:val="yellow"/>
        </w:rPr>
      </w:pPr>
    </w:p>
    <w:p>
      <w:pPr>
        <w:rPr>
          <w:rFonts w:ascii="黑体" w:hAnsi="黑体" w:eastAsia="黑体" w:cs="黑体"/>
          <w:sz w:val="56"/>
          <w:szCs w:val="7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p>
    <w:p>
      <w:pPr>
        <w:tabs>
          <w:tab w:val="left" w:pos="2728"/>
        </w:tabs>
        <w:jc w:val="center"/>
        <w:rPr>
          <w:rFonts w:hint="eastAsia" w:ascii="宋体" w:hAnsi="宋体" w:eastAsia="宋体" w:cs="宋体"/>
          <w:sz w:val="48"/>
          <w:szCs w:val="48"/>
        </w:rPr>
      </w:pPr>
      <w:r>
        <w:rPr>
          <w:rFonts w:hint="eastAsia" w:ascii="宋体" w:hAnsi="宋体" w:eastAsia="宋体" w:cs="宋体"/>
          <w:sz w:val="48"/>
          <w:szCs w:val="48"/>
        </w:rPr>
        <w:t>目    录</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24"/>
          <w:szCs w:val="32"/>
        </w:rPr>
      </w:pPr>
      <w:r>
        <w:rPr>
          <w:rFonts w:hint="eastAsia" w:ascii="宋体" w:hAnsi="宋体" w:eastAsia="宋体" w:cs="宋体"/>
          <w:sz w:val="32"/>
          <w:szCs w:val="32"/>
        </w:rPr>
        <w:t>第一部分   部门概况</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一、部门职责</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二、机构设置</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第二部分   2019年部门决算情况说明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五、一般公共预算“三公”经费支出决算情况说明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六、预算绩效情况说明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七、其他重要事项的说明</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第三部分  名词解释</w:t>
      </w:r>
    </w:p>
    <w:p>
      <w:pPr>
        <w:widowControl/>
        <w:spacing w:after="160" w:line="580" w:lineRule="exact"/>
        <w:ind w:firstLine="640" w:firstLineChars="200"/>
        <w:rPr>
          <w:rFonts w:hint="eastAsia" w:ascii="宋体" w:hAnsi="宋体" w:eastAsia="宋体" w:cs="宋体"/>
          <w:sz w:val="20"/>
          <w:szCs w:val="32"/>
        </w:rPr>
      </w:pPr>
      <w:r>
        <w:rPr>
          <w:rFonts w:hint="eastAsia" w:ascii="宋体" w:hAnsi="宋体" w:eastAsia="宋体" w:cs="宋体"/>
          <w:sz w:val="32"/>
          <w:szCs w:val="32"/>
        </w:rPr>
        <w:t>第四部分  2019年度部门决算报表</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sectPr>
          <w:headerReference r:id="rId17" w:type="first"/>
          <w:footerReference r:id="rId19" w:type="first"/>
          <w:headerReference r:id="rId16" w:type="default"/>
          <w:footerReference r:id="rId18"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sz w:val="72"/>
        </w:rPr>
        <w:pict>
          <v:shape id="_x0000_s1041" o:spid="_x0000_s1041" o:spt="202" type="#_x0000_t202" style="position:absolute;left:0pt;margin-left:-85.7pt;margin-top:80.7pt;height:263.1pt;width:613.65pt;z-index:25165824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1" focussize="0,0" r:id="rId34"/>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rPr>
          <w:rFonts w:hint="eastAsia" w:ascii="宋体" w:hAnsi="宋体" w:eastAsia="宋体" w:cs="宋体"/>
        </w:rPr>
        <w:br w:type="page"/>
      </w:r>
    </w:p>
    <w:p>
      <w:pPr>
        <w:pStyle w:val="2"/>
        <w:spacing w:before="0" w:after="0" w:line="580" w:lineRule="exact"/>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一、部门职责</w:t>
      </w:r>
    </w:p>
    <w:p>
      <w:pPr>
        <w:pStyle w:val="7"/>
        <w:widowControl/>
        <w:numPr>
          <w:ilvl w:val="0"/>
          <w:numId w:val="1"/>
        </w:numPr>
        <w:wordWrap w:val="0"/>
        <w:spacing w:before="75" w:beforeAutospacing="0" w:after="75" w:afterAutospacing="0" w:line="30" w:lineRule="atLeast"/>
        <w:jc w:val="both"/>
        <w:rPr>
          <w:rFonts w:hint="eastAsia" w:ascii="宋体" w:hAnsi="宋体" w:eastAsia="宋体" w:cs="宋体"/>
          <w:sz w:val="32"/>
          <w:szCs w:val="32"/>
        </w:rPr>
      </w:pPr>
      <w:r>
        <w:rPr>
          <w:rFonts w:hint="eastAsia" w:ascii="宋体" w:hAnsi="宋体" w:eastAsia="宋体" w:cs="宋体"/>
          <w:sz w:val="32"/>
          <w:szCs w:val="32"/>
        </w:rPr>
        <w:t>研究全县新型工业化的战略性问题；组织研究工业企业、中小企业、信息化的战略，提出政策建议；组织起草工业、中小企业、信息化地方性法规和规章草案；承担相关行政复议、行政应诉和普法工作；负责起草重要的综合性文稿；承担县政府减轻企业负担领导小组办公室日常工作；负责全县工业、中小企业和信息化的年度考核。</w:t>
      </w:r>
    </w:p>
    <w:p>
      <w:pPr>
        <w:pStyle w:val="7"/>
        <w:widowControl/>
        <w:numPr>
          <w:ilvl w:val="0"/>
          <w:numId w:val="1"/>
        </w:numPr>
        <w:wordWrap w:val="0"/>
        <w:spacing w:before="75" w:beforeAutospacing="0" w:after="75" w:afterAutospacing="0" w:line="30" w:lineRule="atLeast"/>
        <w:jc w:val="both"/>
        <w:rPr>
          <w:rFonts w:hint="eastAsia" w:ascii="宋体" w:hAnsi="宋体" w:eastAsia="宋体" w:cs="宋体"/>
          <w:sz w:val="32"/>
          <w:szCs w:val="32"/>
        </w:rPr>
      </w:pPr>
      <w:r>
        <w:rPr>
          <w:rFonts w:hint="eastAsia" w:ascii="宋体" w:hAnsi="宋体" w:eastAsia="宋体" w:cs="宋体"/>
          <w:sz w:val="32"/>
          <w:szCs w:val="32"/>
        </w:rPr>
        <w:t>组织拟订全县工业、中小企业和信息化发展战略、规划；组织全县工业、中小企业技术改造工作，监督检查、分析技改项目实施情况，推进全县现代产业体系建设；提出全县工业、中小企业和信息化固定资产投资规模和方向（含利用外资和境外投资）、国家和省、市级财政性资金安排的建议，经县政府批准后组织实施；指导县工业、中小企业和信息化专项资金的设立和使用。</w:t>
      </w:r>
    </w:p>
    <w:p>
      <w:pPr>
        <w:pStyle w:val="7"/>
        <w:widowControl/>
        <w:numPr>
          <w:ilvl w:val="0"/>
          <w:numId w:val="1"/>
        </w:numPr>
        <w:wordWrap w:val="0"/>
        <w:spacing w:before="75" w:beforeAutospacing="0" w:after="75" w:afterAutospacing="0" w:line="30" w:lineRule="atLeast"/>
        <w:jc w:val="both"/>
        <w:rPr>
          <w:rFonts w:hint="eastAsia" w:ascii="宋体" w:hAnsi="宋体" w:eastAsia="宋体" w:cs="宋体"/>
          <w:sz w:val="32"/>
          <w:szCs w:val="32"/>
        </w:rPr>
      </w:pPr>
      <w:r>
        <w:rPr>
          <w:rFonts w:hint="eastAsia" w:ascii="宋体" w:hAnsi="宋体" w:eastAsia="宋体" w:cs="宋体"/>
          <w:sz w:val="32"/>
          <w:szCs w:val="32"/>
        </w:rPr>
        <w:t>组织拟订全县工业产业政策，提出推进产业结构调整、产业聚集、工业与相关产业融合发展及管理创新的政策建议；拟订和修订全县产业结构调整目录的相关内容，参与投资项目审核；组织拟订并实施高技术产业中涉及工业和信息化生物医药、新材料、信息产业等规划、政策和标准；组织实施国家工业行业技术规范和标准，指导行业质量管理工作；组织实施相关行业准入制度，会同有关方面实施汽车、农药等准入管理事项；拟定产业集群发展规划及政策措施并组织实施，支持产业集群公共服务平台建设，促进专业化生产及为大企业配套，推进全县主导产业优化升级；负责全县名牌兴企战略的组织实施；推进全县工业行业技术基础工作；组织全县重大产业化示范工程；组织实施有关国家和省、市科技重大专项，推动技术创新和产学研相结合；负责烟花爆竹企业的新建、改建和扩建的审核工作。</w:t>
      </w:r>
    </w:p>
    <w:p>
      <w:pPr>
        <w:pStyle w:val="7"/>
        <w:widowControl/>
        <w:numPr>
          <w:ilvl w:val="0"/>
          <w:numId w:val="1"/>
        </w:numPr>
        <w:wordWrap w:val="0"/>
        <w:spacing w:before="75" w:beforeAutospacing="0" w:after="75" w:afterAutospacing="0" w:line="30" w:lineRule="atLeast"/>
        <w:jc w:val="both"/>
        <w:rPr>
          <w:rFonts w:hint="eastAsia" w:ascii="宋体" w:hAnsi="宋体" w:eastAsia="宋体" w:cs="宋体"/>
          <w:sz w:val="32"/>
          <w:szCs w:val="32"/>
        </w:rPr>
      </w:pPr>
      <w:r>
        <w:rPr>
          <w:rFonts w:hint="eastAsia" w:ascii="宋体" w:hAnsi="宋体" w:eastAsia="宋体" w:cs="宋体"/>
          <w:sz w:val="32"/>
          <w:szCs w:val="32"/>
        </w:rPr>
        <w:t>监测分析工业日常运行，分析全县工业运行态势和国内外工业形势，研究提出有关政策措施；统计并发布工业、主导产业、工业项目、工业园区等运行信息，进行预测预警和信息引导；协调解决行业运行中的有关问题；组织制订淘汰落后产能计划并监督执行；承担应急管理、产业安全和国防动员相关工作。</w:t>
      </w:r>
    </w:p>
    <w:p>
      <w:pPr>
        <w:pStyle w:val="7"/>
        <w:widowControl/>
        <w:numPr>
          <w:ilvl w:val="0"/>
          <w:numId w:val="1"/>
        </w:numPr>
        <w:wordWrap w:val="0"/>
        <w:spacing w:before="75" w:beforeAutospacing="0" w:after="75" w:afterAutospacing="0" w:line="30" w:lineRule="atLeast"/>
        <w:jc w:val="both"/>
        <w:rPr>
          <w:rFonts w:hint="eastAsia" w:ascii="宋体" w:hAnsi="宋体" w:eastAsia="宋体" w:cs="宋体"/>
          <w:sz w:val="32"/>
          <w:szCs w:val="32"/>
        </w:rPr>
      </w:pPr>
      <w:r>
        <w:rPr>
          <w:rFonts w:hint="eastAsia" w:ascii="宋体" w:hAnsi="宋体" w:eastAsia="宋体" w:cs="宋体"/>
          <w:sz w:val="32"/>
          <w:szCs w:val="32"/>
        </w:rPr>
        <w:t>拟订并组织实施全县工业的能源节约和资源综合利用、清洁生产促进政策。参与拟订能源节约和资源综合利用、清洁生产促进规划和污染控制政策；提出全县工业行业需县政府审批和核准投资项目的能耗、水耗审核意见；组织和指导工业节能装备（产品）制造、企业节能管理；组织协调相关重大示范工程和新产品、新技术、新设备、新材料的推广应用；研究制定并组织实施工业“三废”资源的综合利用政策及项目管理；负责优质低硫煤炭推广应用工作；指导全县工业加强安全生产管理，指导重点行业排查治理隐患，参与重特大安全生产事故的调查、处理，指导工业安全生产信息管理和宣传教育工作；承担履行《禁止化学武器公约》的组织协调工作。</w:t>
      </w:r>
    </w:p>
    <w:p>
      <w:pPr>
        <w:pStyle w:val="7"/>
        <w:widowControl/>
        <w:numPr>
          <w:ilvl w:val="0"/>
          <w:numId w:val="1"/>
        </w:numPr>
        <w:wordWrap w:val="0"/>
        <w:spacing w:before="75" w:beforeAutospacing="0" w:after="75" w:afterAutospacing="0" w:line="30" w:lineRule="atLeast"/>
        <w:jc w:val="both"/>
        <w:rPr>
          <w:rFonts w:hint="eastAsia" w:ascii="宋体" w:hAnsi="宋体" w:eastAsia="宋体" w:cs="宋体"/>
          <w:sz w:val="32"/>
          <w:szCs w:val="32"/>
        </w:rPr>
      </w:pPr>
      <w:r>
        <w:rPr>
          <w:rFonts w:hint="eastAsia" w:ascii="宋体" w:hAnsi="宋体" w:eastAsia="宋体" w:cs="宋体"/>
          <w:sz w:val="32"/>
          <w:szCs w:val="32"/>
        </w:rPr>
        <w:t>承担全县钢铁、有色、稀土、化工、建材、通用机械、汽车、民用飞机、民用船舶、轨道交通机械制造业等行业管理工作；研究拟订并组织实施原材料和装备工业发展战略、规划；提出原材料和装备工业结构调整目标、产业布局和重点技术改造项目贴息资金意见；提出重大技术装备发展和自主创新规划、政策建议并组织实施；依托国家和省、市重点工程建设协调有关重大专项的实施，推进重大技术装备国产化；指导引进重大技术装备的消化创新；承办需国家和省、市平衡建设条件的原材料和装备工业固定资产投资前期项目（含利用外资项目）的申报工作；承担稀土行业管理职责；承担农业化学物质行政保护有关工作；协调有关军工产品生产企业工作。</w:t>
      </w:r>
    </w:p>
    <w:p>
      <w:pPr>
        <w:pStyle w:val="7"/>
        <w:widowControl/>
        <w:numPr>
          <w:ilvl w:val="0"/>
          <w:numId w:val="1"/>
        </w:numPr>
        <w:wordWrap w:val="0"/>
        <w:spacing w:before="75" w:beforeAutospacing="0" w:after="75" w:afterAutospacing="0" w:line="30" w:lineRule="atLeast"/>
        <w:jc w:val="both"/>
        <w:rPr>
          <w:rFonts w:hint="eastAsia" w:ascii="宋体" w:hAnsi="宋体" w:eastAsia="宋体" w:cs="宋体"/>
          <w:sz w:val="32"/>
          <w:szCs w:val="32"/>
        </w:rPr>
      </w:pPr>
      <w:r>
        <w:rPr>
          <w:rFonts w:hint="eastAsia" w:ascii="宋体" w:hAnsi="宋体" w:eastAsia="宋体" w:cs="宋体"/>
          <w:sz w:val="32"/>
          <w:szCs w:val="32"/>
        </w:rPr>
        <w:t>承担轻工、纺织、食品、医药、家电等行业管理工作；研究拟订并组织实施消费品工业发展战略、规划；提出消费品工业结构调整目标、产业布局和重点技术改造项目贴息资金意见；承办需国家和省、市平衡建设条件的消费品工业固定资产投资前期项目（含利用外资项目）的申报工作；组织落实国家有关卷烟、糖精生产计划；承担中药材生产扶持项目管理、县级药品储备管理工作。</w:t>
      </w:r>
    </w:p>
    <w:p>
      <w:pPr>
        <w:pStyle w:val="7"/>
        <w:widowControl/>
        <w:numPr>
          <w:ilvl w:val="0"/>
          <w:numId w:val="1"/>
        </w:numPr>
        <w:wordWrap w:val="0"/>
        <w:spacing w:before="75" w:beforeAutospacing="0" w:after="75" w:afterAutospacing="0" w:line="30" w:lineRule="atLeast"/>
        <w:jc w:val="both"/>
        <w:rPr>
          <w:rFonts w:hint="eastAsia" w:ascii="宋体" w:hAnsi="宋体" w:eastAsia="宋体" w:cs="宋体"/>
          <w:sz w:val="32"/>
          <w:szCs w:val="32"/>
        </w:rPr>
      </w:pPr>
      <w:r>
        <w:rPr>
          <w:rFonts w:hint="eastAsia" w:ascii="宋体" w:hAnsi="宋体" w:eastAsia="宋体" w:cs="宋体"/>
          <w:sz w:val="32"/>
          <w:szCs w:val="32"/>
        </w:rPr>
        <w:t>提出工业、中小企业融资的政策措施；组织推进中小企业融资类担保体系建设，推动银保、银企合作，组织多种形式的企业融资，实施信贷补偿；实施对融资性担保机构监督管理和政策支持；组织信用征集、信用评价和信用信息发布，推动中小企业信用制度建设；参与工业、中小企业境内外上市融资、集合债券、私募等直接融资工作；承担对内、对外经济交流与合作、技术引进有关事宜的综合协调工作；拟订鼓励工业企业、中小企业开拓国内外市场的政策措施并组织实施；指导企业对内、对外经济技术交流以及区域间、企业间的协作、配套与联合；负责机关外事工作；指导行业协会工作。</w:t>
      </w:r>
    </w:p>
    <w:p>
      <w:pPr>
        <w:pStyle w:val="7"/>
        <w:widowControl/>
        <w:numPr>
          <w:ilvl w:val="0"/>
          <w:numId w:val="1"/>
        </w:numPr>
        <w:wordWrap w:val="0"/>
        <w:spacing w:before="75" w:beforeAutospacing="0" w:after="75" w:afterAutospacing="0" w:line="30" w:lineRule="atLeast"/>
        <w:jc w:val="both"/>
        <w:rPr>
          <w:rFonts w:hint="eastAsia" w:ascii="宋体" w:hAnsi="宋体" w:eastAsia="宋体" w:cs="宋体"/>
          <w:sz w:val="32"/>
          <w:szCs w:val="32"/>
        </w:rPr>
      </w:pPr>
      <w:r>
        <w:rPr>
          <w:rFonts w:hint="eastAsia" w:ascii="宋体" w:hAnsi="宋体" w:eastAsia="宋体" w:cs="宋体"/>
          <w:sz w:val="32"/>
          <w:szCs w:val="32"/>
        </w:rPr>
        <w:t xml:space="preserve"> 负责对全县中小企业、民营经济的宏观指导，综合协调各项重点工作的开展；统计并发布中小企业、民营经济的运行信息，进行预测预警和信息引导；负责提出推进全民创业、中小企业技术创新的政策措施并组织实施；推动中小企业社会化服务体系和信息网络体系建设；建立和完善中小企业创业辅导体系；负责全县民营经济领导小组办公室的日常工作。</w:t>
      </w:r>
    </w:p>
    <w:p>
      <w:pPr>
        <w:widowControl/>
        <w:spacing w:line="580" w:lineRule="exact"/>
        <w:ind w:firstLine="640" w:firstLineChars="200"/>
        <w:rPr>
          <w:rFonts w:hint="eastAsia" w:ascii="宋体" w:hAnsi="宋体" w:eastAsia="宋体" w:cs="宋体"/>
          <w:kern w:val="0"/>
          <w:sz w:val="32"/>
          <w:szCs w:val="32"/>
        </w:rPr>
      </w:pPr>
    </w:p>
    <w:p>
      <w:pPr>
        <w:keepNext/>
        <w:keepLines/>
        <w:spacing w:line="580" w:lineRule="exact"/>
        <w:ind w:firstLine="640" w:firstLineChars="200"/>
        <w:jc w:val="left"/>
        <w:outlineLvl w:val="0"/>
        <w:rPr>
          <w:rFonts w:hint="eastAsia" w:ascii="宋体" w:hAnsi="宋体" w:eastAsia="宋体" w:cs="宋体"/>
          <w:kern w:val="0"/>
          <w:sz w:val="32"/>
          <w:szCs w:val="32"/>
        </w:rPr>
      </w:pPr>
      <w:r>
        <w:rPr>
          <w:rFonts w:hint="eastAsia" w:ascii="宋体" w:hAnsi="宋体" w:eastAsia="宋体" w:cs="宋体"/>
          <w:kern w:val="0"/>
          <w:sz w:val="32"/>
          <w:szCs w:val="32"/>
        </w:rPr>
        <w:t>二、机构设置</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从决算编报单位构成看，纳入2019 年度本部门决算汇编范围的独立核算单位（以下简称“单位”）共</w:t>
      </w:r>
      <w:r>
        <w:rPr>
          <w:rFonts w:hint="eastAsia" w:ascii="宋体" w:hAnsi="宋体" w:eastAsia="宋体" w:cs="宋体"/>
          <w:kern w:val="0"/>
          <w:sz w:val="32"/>
          <w:szCs w:val="32"/>
          <w:lang w:val="en-US" w:eastAsia="zh-CN"/>
        </w:rPr>
        <w:t>1</w:t>
      </w:r>
      <w:r>
        <w:rPr>
          <w:rFonts w:hint="eastAsia" w:ascii="宋体" w:hAnsi="宋体" w:eastAsia="宋体" w:cs="宋体"/>
          <w:kern w:val="0"/>
          <w:sz w:val="32"/>
          <w:szCs w:val="32"/>
        </w:rPr>
        <w:t>个，具体情况如下：</w:t>
      </w:r>
    </w:p>
    <w:tbl>
      <w:tblPr>
        <w:tblStyle w:val="9"/>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序号</w:t>
            </w:r>
          </w:p>
        </w:tc>
        <w:tc>
          <w:tcPr>
            <w:tcW w:w="348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单位名称</w:t>
            </w:r>
          </w:p>
        </w:tc>
        <w:tc>
          <w:tcPr>
            <w:tcW w:w="244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单位基本性质</w:t>
            </w:r>
          </w:p>
        </w:tc>
        <w:tc>
          <w:tcPr>
            <w:tcW w:w="266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3485" w:type="dxa"/>
          </w:tcPr>
          <w:p>
            <w:pPr>
              <w:spacing w:line="560" w:lineRule="exact"/>
              <w:rPr>
                <w:rFonts w:hint="eastAsia" w:ascii="宋体" w:hAnsi="宋体" w:eastAsia="宋体" w:cs="宋体"/>
                <w:kern w:val="0"/>
                <w:sz w:val="28"/>
                <w:szCs w:val="28"/>
              </w:rPr>
            </w:pPr>
            <w:r>
              <w:rPr>
                <w:rFonts w:hint="eastAsia" w:ascii="宋体" w:hAnsi="宋体" w:eastAsia="宋体" w:cs="宋体"/>
                <w:kern w:val="0"/>
                <w:sz w:val="28"/>
                <w:szCs w:val="28"/>
              </w:rPr>
              <w:t>阜城县工业和信息化局</w:t>
            </w:r>
          </w:p>
        </w:tc>
        <w:tc>
          <w:tcPr>
            <w:tcW w:w="2445"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行政单位</w:t>
            </w:r>
          </w:p>
        </w:tc>
        <w:tc>
          <w:tcPr>
            <w:tcW w:w="2665"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hint="eastAsia" w:ascii="宋体" w:hAnsi="宋体" w:eastAsia="宋体" w:cs="宋体"/>
                <w:kern w:val="0"/>
                <w:sz w:val="28"/>
                <w:szCs w:val="28"/>
              </w:rPr>
            </w:pPr>
          </w:p>
        </w:tc>
      </w:tr>
    </w:tbl>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pPr>
    </w:p>
    <w:p>
      <w:pPr>
        <w:ind w:firstLine="3233" w:firstLineChars="1150"/>
        <w:outlineLvl w:val="0"/>
        <w:rPr>
          <w:rFonts w:hint="eastAsia" w:ascii="宋体" w:hAnsi="宋体" w:eastAsia="宋体" w:cs="宋体"/>
          <w:b/>
          <w:sz w:val="28"/>
          <w:szCs w:val="28"/>
        </w:rPr>
      </w:pPr>
      <w:r>
        <w:rPr>
          <w:rFonts w:hint="eastAsia" w:ascii="宋体" w:hAnsi="宋体" w:eastAsia="宋体" w:cs="宋体"/>
          <w:b/>
          <w:sz w:val="28"/>
          <w:szCs w:val="28"/>
        </w:rPr>
        <w:t>部门机构设置情况</w:t>
      </w:r>
    </w:p>
    <w:tbl>
      <w:tblPr>
        <w:tblStyle w:val="8"/>
        <w:tblW w:w="84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8"/>
        <w:gridCol w:w="1753"/>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blHeader/>
          <w:jc w:val="center"/>
        </w:trPr>
        <w:tc>
          <w:tcPr>
            <w:tcW w:w="3798"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单位名称</w:t>
            </w:r>
          </w:p>
        </w:tc>
        <w:tc>
          <w:tcPr>
            <w:tcW w:w="1753"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单位性质</w:t>
            </w:r>
          </w:p>
        </w:tc>
        <w:tc>
          <w:tcPr>
            <w:tcW w:w="2902"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blHeader/>
          <w:jc w:val="center"/>
        </w:trPr>
        <w:tc>
          <w:tcPr>
            <w:tcW w:w="3798" w:type="dxa"/>
            <w:vMerge w:val="continue"/>
            <w:vAlign w:val="center"/>
          </w:tcPr>
          <w:p>
            <w:pPr>
              <w:spacing w:line="300" w:lineRule="exact"/>
              <w:outlineLvl w:val="0"/>
              <w:rPr>
                <w:rFonts w:hint="eastAsia" w:ascii="宋体" w:hAnsi="宋体" w:eastAsia="宋体" w:cs="宋体"/>
              </w:rPr>
            </w:pPr>
          </w:p>
        </w:tc>
        <w:tc>
          <w:tcPr>
            <w:tcW w:w="1753" w:type="dxa"/>
            <w:vMerge w:val="continue"/>
            <w:vAlign w:val="center"/>
          </w:tcPr>
          <w:p>
            <w:pPr>
              <w:spacing w:line="300" w:lineRule="exact"/>
              <w:outlineLvl w:val="0"/>
              <w:rPr>
                <w:rFonts w:hint="eastAsia" w:ascii="宋体" w:hAnsi="宋体" w:eastAsia="宋体" w:cs="宋体"/>
              </w:rPr>
            </w:pPr>
          </w:p>
        </w:tc>
        <w:tc>
          <w:tcPr>
            <w:tcW w:w="2902" w:type="dxa"/>
            <w:vMerge w:val="continue"/>
            <w:vAlign w:val="center"/>
          </w:tcPr>
          <w:p>
            <w:pPr>
              <w:spacing w:line="300" w:lineRule="exact"/>
              <w:outlineLvl w:val="0"/>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98" w:type="dxa"/>
            <w:vAlign w:val="center"/>
          </w:tcPr>
          <w:p>
            <w:pPr>
              <w:spacing w:line="300" w:lineRule="exact"/>
              <w:rPr>
                <w:rFonts w:hint="eastAsia" w:ascii="宋体" w:hAnsi="宋体" w:eastAsia="宋体" w:cs="宋体"/>
              </w:rPr>
            </w:pPr>
            <w:r>
              <w:rPr>
                <w:rFonts w:hint="eastAsia" w:ascii="宋体" w:hAnsi="宋体" w:eastAsia="宋体" w:cs="宋体"/>
              </w:rPr>
              <w:t>办公室</w:t>
            </w:r>
          </w:p>
        </w:tc>
        <w:tc>
          <w:tcPr>
            <w:tcW w:w="1753" w:type="dxa"/>
            <w:vAlign w:val="center"/>
          </w:tcPr>
          <w:p>
            <w:pPr>
              <w:spacing w:line="300" w:lineRule="exact"/>
              <w:jc w:val="center"/>
              <w:rPr>
                <w:rFonts w:hint="eastAsia" w:ascii="宋体" w:hAnsi="宋体" w:eastAsia="宋体" w:cs="宋体"/>
              </w:rPr>
            </w:pPr>
            <w:r>
              <w:rPr>
                <w:rFonts w:hint="eastAsia" w:ascii="宋体" w:hAnsi="宋体" w:eastAsia="宋体" w:cs="宋体"/>
              </w:rPr>
              <w:t>行政单位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98" w:type="dxa"/>
            <w:vAlign w:val="center"/>
          </w:tcPr>
          <w:p>
            <w:pPr>
              <w:spacing w:line="300" w:lineRule="exact"/>
              <w:rPr>
                <w:rFonts w:hint="eastAsia" w:ascii="宋体" w:hAnsi="宋体" w:eastAsia="宋体" w:cs="宋体"/>
              </w:rPr>
            </w:pPr>
            <w:r>
              <w:rPr>
                <w:rFonts w:hint="eastAsia" w:ascii="宋体" w:hAnsi="宋体" w:eastAsia="宋体" w:cs="宋体"/>
              </w:rPr>
              <w:t>综合股</w:t>
            </w:r>
          </w:p>
        </w:tc>
        <w:tc>
          <w:tcPr>
            <w:tcW w:w="1753" w:type="dxa"/>
            <w:vAlign w:val="center"/>
          </w:tcPr>
          <w:p>
            <w:pPr>
              <w:spacing w:line="300" w:lineRule="exact"/>
              <w:jc w:val="center"/>
              <w:rPr>
                <w:rFonts w:hint="eastAsia" w:ascii="宋体" w:hAnsi="宋体" w:eastAsia="宋体" w:cs="宋体"/>
              </w:rPr>
            </w:pPr>
            <w:r>
              <w:rPr>
                <w:rFonts w:hint="eastAsia" w:ascii="宋体" w:hAnsi="宋体" w:eastAsia="宋体" w:cs="宋体"/>
              </w:rPr>
              <w:t>行政单位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rPr>
              <w:t>财政拨款</w:t>
            </w:r>
          </w:p>
        </w:tc>
      </w:tr>
    </w:tbl>
    <w:p>
      <w:pPr>
        <w:widowControl/>
        <w:spacing w:after="160" w:line="580" w:lineRule="exact"/>
        <w:ind w:firstLine="640" w:firstLineChars="200"/>
        <w:rPr>
          <w:rFonts w:hint="eastAsia" w:ascii="宋体" w:hAnsi="宋体" w:eastAsia="宋体" w:cs="宋体"/>
          <w:sz w:val="32"/>
          <w:szCs w:val="32"/>
        </w:rPr>
        <w:sectPr>
          <w:footerReference r:id="rId22" w:type="first"/>
          <w:headerReference r:id="rId20" w:type="default"/>
          <w:footerReference r:id="rId21"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hint="eastAsia" w:ascii="宋体" w:hAnsi="宋体" w:eastAsia="宋体" w:cs="宋体"/>
          <w:sz w:val="32"/>
          <w:szCs w:val="32"/>
        </w:rPr>
        <w:sectPr>
          <w:headerReference r:id="rId23"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hint="eastAsia" w:ascii="宋体" w:hAnsi="宋体" w:eastAsia="宋体" w:cs="宋体"/>
          <w:sz w:val="32"/>
          <w:szCs w:val="32"/>
        </w:rPr>
        <w:sectPr>
          <w:pgSz w:w="11906" w:h="16838"/>
          <w:pgMar w:top="2041" w:right="1531" w:bottom="2041" w:left="1531" w:header="851" w:footer="992" w:gutter="0"/>
          <w:pgNumType w:fmt="numberInDash"/>
          <w:cols w:space="0" w:num="1"/>
          <w:titlePg/>
          <w:docGrid w:type="lines" w:linePitch="312" w:charSpace="0"/>
        </w:sectPr>
      </w:pPr>
      <w:r>
        <w:rPr>
          <w:rFonts w:hint="eastAsia" w:ascii="宋体" w:hAnsi="宋体" w:eastAsia="宋体" w:cs="宋体"/>
          <w:sz w:val="72"/>
        </w:rPr>
        <w:pict>
          <v:shape id="_x0000_s1040" o:spid="_x0000_s1040"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hint="eastAsia" w:ascii="宋体" w:hAnsi="宋体" w:eastAsia="宋体" w:cs="宋体"/>
          <w:sz w:val="32"/>
          <w:szCs w:val="3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r>
        <w:rPr>
          <w:rFonts w:hint="eastAsia" w:ascii="宋体" w:hAnsi="宋体" w:eastAsia="宋体" w:cs="宋体"/>
          <w:sz w:val="72"/>
        </w:rPr>
        <w:pict>
          <v:shape id="_x0000_s1039" o:spid="_x0000_s1039" o:spt="202" type="#_x0000_t202" style="position:absolute;left:0pt;margin-left:-90.8pt;margin-top:4.35pt;height:263.1pt;width:613.65pt;z-index:2516633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1" focussize="0,0" r:id="rId34"/>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按照预算管理有关规定，目前我部门预算的编制实行综合预算制度，即全部收入和支出都反映在预算中。</w:t>
      </w:r>
      <w:r>
        <w:rPr>
          <w:rFonts w:hint="eastAsia" w:ascii="宋体" w:hAnsi="宋体" w:eastAsia="宋体" w:cs="宋体"/>
          <w:b w:val="0"/>
          <w:bCs w:val="0"/>
          <w:lang w:eastAsia="zh-CN"/>
        </w:rPr>
        <w:t>阜城县工业和信息化局</w:t>
      </w:r>
      <w:r>
        <w:rPr>
          <w:rFonts w:hint="eastAsia" w:ascii="宋体" w:hAnsi="宋体" w:eastAsia="宋体" w:cs="宋体"/>
          <w:b w:val="0"/>
          <w:bCs w:val="0"/>
        </w:rPr>
        <w:t>及所属行政（事业）单位的收支包含在部门决算中。</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一、收入</w:t>
      </w:r>
      <w:r>
        <w:rPr>
          <w:rFonts w:hint="eastAsia" w:ascii="宋体" w:hAnsi="宋体" w:eastAsia="宋体" w:cs="宋体"/>
          <w:kern w:val="0"/>
          <w:sz w:val="32"/>
          <w:szCs w:val="32"/>
        </w:rPr>
        <w:t>支出</w:t>
      </w:r>
      <w:r>
        <w:rPr>
          <w:rFonts w:hint="eastAsia" w:ascii="宋体" w:hAnsi="宋体" w:eastAsia="宋体" w:cs="宋体"/>
          <w:sz w:val="32"/>
          <w:szCs w:val="32"/>
        </w:rPr>
        <w:t>决算总体情况说明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本部门2019年度收支总计（含结转和结余）713.54万元。与2018年度决算相比，收支各增加32.06万元，增长4.7</w:t>
      </w:r>
      <w:r>
        <w:rPr>
          <w:rFonts w:hint="eastAsia" w:ascii="宋体" w:hAnsi="宋体" w:eastAsia="宋体" w:cs="宋体"/>
          <w:sz w:val="32"/>
          <w:szCs w:val="32"/>
          <w:lang w:val="en-US" w:eastAsia="zh-CN"/>
        </w:rPr>
        <w:t>0</w:t>
      </w:r>
      <w:r>
        <w:rPr>
          <w:rFonts w:hint="eastAsia" w:ascii="宋体" w:hAnsi="宋体" w:eastAsia="宋体" w:cs="宋体"/>
          <w:sz w:val="32"/>
          <w:szCs w:val="32"/>
        </w:rPr>
        <w:t>%，变动的主要原因：2019年承接业务量比往年增加，造成费用增加。</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二、收入决算情况说明</w:t>
      </w:r>
    </w:p>
    <w:p>
      <w:pPr>
        <w:adjustRightInd w:val="0"/>
        <w:snapToGrid w:val="0"/>
        <w:spacing w:line="580" w:lineRule="exact"/>
        <w:ind w:firstLine="640" w:firstLineChars="200"/>
        <w:rPr>
          <w:rFonts w:hint="eastAsia" w:ascii="宋体" w:hAnsi="宋体" w:eastAsia="宋体" w:cs="宋体"/>
          <w:sz w:val="32"/>
          <w:szCs w:val="32"/>
          <w:highlight w:val="yellow"/>
        </w:rPr>
      </w:pPr>
      <w:r>
        <w:rPr>
          <w:rFonts w:hint="eastAsia" w:ascii="宋体" w:hAnsi="宋体" w:eastAsia="宋体" w:cs="宋体"/>
          <w:sz w:val="32"/>
          <w:szCs w:val="32"/>
        </w:rPr>
        <w:t>本部门2019年度本年收入合计707.19万元，其中：财政拨款收入707.19万元，占100%；事业收入0万元，占0%；经营收入0万元，占0%；其他收入0万元，占0%。</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三、支出决算情况说明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本部门2019年度本年支出合计413.54万元，其中：基本支出82.23万元，占19.89%；项目支出331.31万元，占80.11%；经营支出0万元，占0%。</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四、</w:t>
      </w:r>
      <w:r>
        <w:rPr>
          <w:rFonts w:hint="eastAsia" w:ascii="宋体" w:hAnsi="宋体" w:eastAsia="宋体" w:cs="宋体"/>
          <w:kern w:val="0"/>
          <w:sz w:val="32"/>
          <w:szCs w:val="32"/>
        </w:rPr>
        <w:t>财政</w:t>
      </w:r>
      <w:r>
        <w:rPr>
          <w:rFonts w:hint="eastAsia" w:ascii="宋体" w:hAnsi="宋体" w:eastAsia="宋体" w:cs="宋体"/>
          <w:sz w:val="32"/>
          <w:szCs w:val="32"/>
        </w:rPr>
        <w:t>拨款收入支出决算总体情况说明</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（一）财政拨款收支与2018 年度决算对比情况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形成的财政拨款收支均为一般公共预算财政拨款，其中本年收入707.19万元,比2018年度增加418.79万元，增长145.21%，主要是2019年承接业务量比往年增加，造成费用增加；本年支出413.54万元，减少259.84万元，降低38.59%，主要是年末结转结余300</w:t>
      </w:r>
      <w:r>
        <w:rPr>
          <w:rFonts w:hint="eastAsia" w:ascii="宋体" w:hAnsi="宋体" w:eastAsia="宋体" w:cs="宋体"/>
          <w:sz w:val="32"/>
          <w:szCs w:val="32"/>
          <w:lang w:val="en-US" w:eastAsia="zh-CN"/>
        </w:rPr>
        <w:t>.00</w:t>
      </w:r>
      <w:r>
        <w:rPr>
          <w:rFonts w:hint="eastAsia" w:ascii="宋体" w:hAnsi="宋体" w:eastAsia="宋体" w:cs="宋体"/>
          <w:sz w:val="32"/>
          <w:szCs w:val="32"/>
        </w:rPr>
        <w:t>万元。</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（二）财政拨款收支与年初预算数对比情况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一般公共预算财政拨款收入707.19万元，完成年初预算的150.05%,比年初预算增加235.89万元，决算数大于预算数主要原因是2019年承接业务量比往年增加，造成费用增加；本年支出413.54万元，完成年初预算的87.74%,比年初预算减少57.76万元，决算数小于预算数主要原因是主要是年末结转结余300</w:t>
      </w:r>
      <w:r>
        <w:rPr>
          <w:rFonts w:hint="eastAsia" w:ascii="宋体" w:hAnsi="宋体" w:eastAsia="宋体" w:cs="宋体"/>
          <w:sz w:val="32"/>
          <w:szCs w:val="32"/>
          <w:lang w:val="en-US" w:eastAsia="zh-CN"/>
        </w:rPr>
        <w:t>.00</w:t>
      </w:r>
      <w:r>
        <w:rPr>
          <w:rFonts w:hint="eastAsia" w:ascii="宋体" w:hAnsi="宋体" w:eastAsia="宋体" w:cs="宋体"/>
          <w:sz w:val="32"/>
          <w:szCs w:val="32"/>
        </w:rPr>
        <w:t>万元。</w:t>
      </w:r>
    </w:p>
    <w:p>
      <w:pPr>
        <w:numPr>
          <w:ilvl w:val="0"/>
          <w:numId w:val="2"/>
        </w:num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财政拨款支出决算结构情况。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年度财政拨款支出413.54万元，主要用于以下方面：一般公共服务（类）支出273.11万元，占66.04%；社会保障和就业（类）支出 26.56万元，占6.42%；住房保障（类）支出3.87万元，占0.94%;卫生健康（类）支出1.99万元，占0.48%；资源勘探信息（类）支出108</w:t>
      </w:r>
      <w:r>
        <w:rPr>
          <w:rFonts w:hint="eastAsia" w:ascii="宋体" w:hAnsi="宋体" w:eastAsia="宋体" w:cs="宋体"/>
          <w:sz w:val="32"/>
          <w:szCs w:val="32"/>
          <w:lang w:val="en-US" w:eastAsia="zh-CN"/>
        </w:rPr>
        <w:t>.02</w:t>
      </w:r>
      <w:r>
        <w:rPr>
          <w:rFonts w:hint="eastAsia" w:ascii="宋体" w:hAnsi="宋体" w:eastAsia="宋体" w:cs="宋体"/>
          <w:sz w:val="32"/>
          <w:szCs w:val="32"/>
        </w:rPr>
        <w:t>万元，占26.12%。</w:t>
      </w:r>
    </w:p>
    <w:p>
      <w:p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（四）一般公共预算基本支出决算情况说明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年度财政拨款基本支出82.23万元，其中：人员经费 75.69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6.54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五、一般公共预算“三公” 经费支出决算情况说明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本部门2019年度“三公”经费支出共计2.</w:t>
      </w:r>
      <w:r>
        <w:rPr>
          <w:rFonts w:hint="eastAsia" w:ascii="宋体" w:hAnsi="宋体" w:eastAsia="宋体" w:cs="宋体"/>
          <w:sz w:val="32"/>
          <w:szCs w:val="32"/>
          <w:lang w:val="en-US" w:eastAsia="zh-CN"/>
        </w:rPr>
        <w:t>38</w:t>
      </w:r>
      <w:r>
        <w:rPr>
          <w:rFonts w:hint="eastAsia" w:ascii="宋体" w:hAnsi="宋体" w:eastAsia="宋体" w:cs="宋体"/>
          <w:sz w:val="32"/>
          <w:szCs w:val="32"/>
        </w:rPr>
        <w:t>万元，完成预算的</w:t>
      </w:r>
      <w:r>
        <w:rPr>
          <w:rFonts w:hint="eastAsia" w:ascii="宋体" w:hAnsi="宋体" w:eastAsia="宋体" w:cs="宋体"/>
          <w:sz w:val="32"/>
          <w:szCs w:val="32"/>
          <w:lang w:val="en-US" w:eastAsia="zh-CN"/>
        </w:rPr>
        <w:t>79.33</w:t>
      </w:r>
      <w:r>
        <w:rPr>
          <w:rFonts w:hint="eastAsia" w:ascii="宋体" w:hAnsi="宋体" w:eastAsia="宋体" w:cs="宋体"/>
          <w:sz w:val="32"/>
          <w:szCs w:val="32"/>
        </w:rPr>
        <w:t>%,较预算减少</w:t>
      </w:r>
      <w:r>
        <w:rPr>
          <w:rFonts w:hint="eastAsia" w:ascii="宋体" w:hAnsi="宋体" w:eastAsia="宋体" w:cs="宋体"/>
          <w:sz w:val="32"/>
          <w:szCs w:val="32"/>
          <w:lang w:val="en-US" w:eastAsia="zh-CN"/>
        </w:rPr>
        <w:t>0.62</w:t>
      </w:r>
      <w:r>
        <w:rPr>
          <w:rFonts w:hint="eastAsia" w:ascii="宋体" w:hAnsi="宋体" w:eastAsia="宋体" w:cs="宋体"/>
          <w:sz w:val="32"/>
          <w:szCs w:val="32"/>
        </w:rPr>
        <w:t>万元，降低</w:t>
      </w:r>
      <w:r>
        <w:rPr>
          <w:rFonts w:hint="eastAsia" w:ascii="宋体" w:hAnsi="宋体" w:eastAsia="宋体" w:cs="宋体"/>
          <w:sz w:val="32"/>
          <w:szCs w:val="32"/>
          <w:lang w:val="en-US" w:eastAsia="zh-CN"/>
        </w:rPr>
        <w:t>20.67</w:t>
      </w:r>
      <w:r>
        <w:rPr>
          <w:rFonts w:hint="eastAsia" w:ascii="宋体" w:hAnsi="宋体" w:eastAsia="宋体" w:cs="宋体"/>
          <w:sz w:val="32"/>
          <w:szCs w:val="32"/>
        </w:rPr>
        <w:t>%，主要是我局认真落实中央“八项规定”精神和厉行节约要求，管理制定不断完善，“三公”经费支出得到有效控制，实现了只减不增的目标；较2018年度减少0.</w:t>
      </w:r>
      <w:r>
        <w:rPr>
          <w:rFonts w:hint="eastAsia" w:ascii="宋体" w:hAnsi="宋体" w:eastAsia="宋体" w:cs="宋体"/>
          <w:sz w:val="32"/>
          <w:szCs w:val="32"/>
          <w:lang w:val="en-US" w:eastAsia="zh-CN"/>
        </w:rPr>
        <w:t>62</w:t>
      </w:r>
      <w:r>
        <w:rPr>
          <w:rFonts w:hint="eastAsia" w:ascii="宋体" w:hAnsi="宋体" w:eastAsia="宋体" w:cs="宋体"/>
          <w:sz w:val="32"/>
          <w:szCs w:val="32"/>
        </w:rPr>
        <w:t>万元，降低</w:t>
      </w:r>
      <w:r>
        <w:rPr>
          <w:rFonts w:hint="eastAsia" w:ascii="宋体" w:hAnsi="宋体" w:eastAsia="宋体" w:cs="宋体"/>
          <w:sz w:val="32"/>
          <w:szCs w:val="32"/>
          <w:lang w:val="en-US" w:eastAsia="zh-CN"/>
        </w:rPr>
        <w:t>20.67</w:t>
      </w:r>
      <w:r>
        <w:rPr>
          <w:rFonts w:hint="eastAsia" w:ascii="宋体" w:hAnsi="宋体" w:eastAsia="宋体" w:cs="宋体"/>
          <w:sz w:val="32"/>
          <w:szCs w:val="32"/>
        </w:rPr>
        <w:t>%，主要是我局认真落实中央“八项规定”精神和厉行节约要求，管理制定不断完善，“三公”经费支出得到有效控制，实现了只减不增的目标。具体情况如下：</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（一）因公出国（境）费支出0万元。</w:t>
      </w:r>
      <w:r>
        <w:rPr>
          <w:rFonts w:hint="eastAsia" w:ascii="宋体" w:hAnsi="宋体" w:eastAsia="宋体" w:cs="宋体"/>
          <w:sz w:val="32"/>
          <w:szCs w:val="32"/>
        </w:rPr>
        <w:t>本部门2019年度因公出国（境）团组0个、共0人/参加其他单位组织的因公出国（境）团组0个、0人/无本单位组织的出国（境）团组。因公出国（境）费支出为0，与预算持平，与2018年度决算支出持平。</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（二）公务用车购置及运行维护费支出2.15万元。</w:t>
      </w:r>
      <w:r>
        <w:rPr>
          <w:rFonts w:hint="eastAsia" w:ascii="宋体" w:hAnsi="宋体" w:eastAsia="宋体" w:cs="宋体"/>
          <w:sz w:val="32"/>
          <w:szCs w:val="32"/>
        </w:rPr>
        <w:t>本部门2019年度公务用车购置及运行维护费较预算减少0.35万元，降低1</w:t>
      </w:r>
      <w:r>
        <w:rPr>
          <w:rFonts w:hint="eastAsia" w:ascii="宋体" w:hAnsi="宋体" w:eastAsia="宋体" w:cs="宋体"/>
          <w:sz w:val="32"/>
          <w:szCs w:val="32"/>
          <w:lang w:val="en-US" w:eastAsia="zh-CN"/>
        </w:rPr>
        <w:t>4.00</w:t>
      </w:r>
      <w:r>
        <w:rPr>
          <w:rFonts w:hint="eastAsia" w:ascii="宋体" w:hAnsi="宋体" w:eastAsia="宋体" w:cs="宋体"/>
          <w:sz w:val="32"/>
          <w:szCs w:val="32"/>
        </w:rPr>
        <w:t>%,主要是我局认真落实中央“八项规定”精神和厉行节约要求，管理制定不断完善，“三公”经费支出得到有效控制，实现了只减不增的目标；较上年减少0.35万元，降低1</w:t>
      </w:r>
      <w:r>
        <w:rPr>
          <w:rFonts w:hint="eastAsia" w:ascii="宋体" w:hAnsi="宋体" w:eastAsia="宋体" w:cs="宋体"/>
          <w:sz w:val="32"/>
          <w:szCs w:val="32"/>
          <w:lang w:val="en-US" w:eastAsia="zh-CN"/>
        </w:rPr>
        <w:t>4.00</w:t>
      </w:r>
      <w:r>
        <w:rPr>
          <w:rFonts w:hint="eastAsia" w:ascii="宋体" w:hAnsi="宋体" w:eastAsia="宋体" w:cs="宋体"/>
          <w:sz w:val="32"/>
          <w:szCs w:val="32"/>
        </w:rPr>
        <w:t>%,主要是我局认真落实中央“八项规定”精神和厉行节约要求，管理制定不断完善，“三公”经费支出得到有效控制，实现了只减不增的目标。</w:t>
      </w:r>
      <w:r>
        <w:rPr>
          <w:rFonts w:hint="eastAsia" w:ascii="宋体" w:hAnsi="宋体" w:eastAsia="宋体" w:cs="宋体"/>
          <w:b/>
          <w:bCs/>
          <w:sz w:val="32"/>
          <w:szCs w:val="32"/>
        </w:rPr>
        <w:t>其中：</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公务用车购置费：</w:t>
      </w:r>
      <w:r>
        <w:rPr>
          <w:rFonts w:hint="eastAsia" w:ascii="宋体" w:hAnsi="宋体" w:eastAsia="宋体" w:cs="宋体"/>
          <w:sz w:val="32"/>
          <w:szCs w:val="32"/>
        </w:rPr>
        <w:t>本部门2019年度</w:t>
      </w:r>
      <w:r>
        <w:rPr>
          <w:rFonts w:hint="eastAsia" w:ascii="宋体" w:hAnsi="宋体" w:eastAsia="宋体" w:cs="宋体"/>
          <w:color w:val="000000"/>
          <w:sz w:val="32"/>
          <w:szCs w:val="32"/>
        </w:rPr>
        <w:t>未发生“公务用车购置”经费支出</w:t>
      </w:r>
      <w:r>
        <w:rPr>
          <w:rFonts w:hint="eastAsia" w:ascii="宋体" w:hAnsi="宋体" w:eastAsia="宋体" w:cs="宋体"/>
          <w:sz w:val="32"/>
          <w:szCs w:val="32"/>
        </w:rPr>
        <w:t>。本部门2019年度公务用车购置量</w:t>
      </w:r>
      <w:r>
        <w:rPr>
          <w:rFonts w:hint="eastAsia" w:ascii="宋体" w:hAnsi="宋体" w:eastAsia="宋体" w:cs="宋体"/>
          <w:sz w:val="32"/>
          <w:szCs w:val="32"/>
          <w:lang w:val="en-US" w:eastAsia="zh-CN"/>
        </w:rPr>
        <w:t>0</w:t>
      </w:r>
      <w:r>
        <w:rPr>
          <w:rFonts w:hint="eastAsia" w:ascii="宋体" w:hAnsi="宋体" w:eastAsia="宋体" w:cs="宋体"/>
          <w:sz w:val="32"/>
          <w:szCs w:val="32"/>
        </w:rPr>
        <w:t>辆，发生“公务用车购置”经费支出</w:t>
      </w:r>
      <w:r>
        <w:rPr>
          <w:rFonts w:hint="eastAsia" w:ascii="宋体" w:hAnsi="宋体" w:eastAsia="宋体" w:cs="宋体"/>
          <w:sz w:val="32"/>
          <w:szCs w:val="32"/>
          <w:lang w:val="en-US" w:eastAsia="zh-CN"/>
        </w:rPr>
        <w:t>0</w:t>
      </w:r>
      <w:r>
        <w:rPr>
          <w:rFonts w:hint="eastAsia" w:ascii="宋体" w:hAnsi="宋体" w:eastAsia="宋体" w:cs="宋体"/>
          <w:sz w:val="32"/>
          <w:szCs w:val="32"/>
        </w:rPr>
        <w:t>万元。公务用车购置费支出</w:t>
      </w:r>
      <w:r>
        <w:rPr>
          <w:rFonts w:hint="eastAsia" w:ascii="宋体" w:hAnsi="宋体" w:eastAsia="宋体" w:cs="宋体"/>
          <w:sz w:val="32"/>
          <w:szCs w:val="32"/>
          <w:lang w:eastAsia="zh-CN"/>
        </w:rPr>
        <w:t>与</w:t>
      </w:r>
      <w:bookmarkStart w:id="0" w:name="_GoBack"/>
      <w:bookmarkEnd w:id="0"/>
      <w:r>
        <w:rPr>
          <w:rFonts w:hint="eastAsia" w:ascii="宋体" w:hAnsi="宋体" w:eastAsia="宋体" w:cs="宋体"/>
          <w:sz w:val="32"/>
          <w:szCs w:val="32"/>
          <w:lang w:val="en-US" w:eastAsia="zh-CN"/>
        </w:rPr>
        <w:t>预算持平，与上年决算持平</w:t>
      </w:r>
      <w:r>
        <w:rPr>
          <w:rFonts w:hint="eastAsia" w:ascii="宋体" w:hAnsi="宋体" w:eastAsia="宋体" w:cs="宋体"/>
          <w:sz w:val="32"/>
          <w:szCs w:val="32"/>
        </w:rPr>
        <w:t>。</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公务用车运行维护费：</w:t>
      </w:r>
      <w:r>
        <w:rPr>
          <w:rFonts w:hint="eastAsia" w:ascii="宋体" w:hAnsi="宋体" w:eastAsia="宋体" w:cs="宋体"/>
          <w:sz w:val="32"/>
          <w:szCs w:val="32"/>
        </w:rPr>
        <w:t>本部门2019年度单位公务用车保有量1辆。公车运行维护费支出较预算减少0.35万元，降低1</w:t>
      </w:r>
      <w:r>
        <w:rPr>
          <w:rFonts w:hint="eastAsia" w:ascii="宋体" w:hAnsi="宋体" w:eastAsia="宋体" w:cs="宋体"/>
          <w:sz w:val="32"/>
          <w:szCs w:val="32"/>
          <w:lang w:val="en-US" w:eastAsia="zh-CN"/>
        </w:rPr>
        <w:t>4.00</w:t>
      </w:r>
      <w:r>
        <w:rPr>
          <w:rFonts w:hint="eastAsia" w:ascii="宋体" w:hAnsi="宋体" w:eastAsia="宋体" w:cs="宋体"/>
          <w:sz w:val="32"/>
          <w:szCs w:val="32"/>
        </w:rPr>
        <w:t>%,主要是我局认真落实中央“八项规定”精神和厉行节约要求，管理制定不断完善，“三公”经费支出得到有效控制，实现了只减不增的目标；较上年减少0.35万元，降低1</w:t>
      </w:r>
      <w:r>
        <w:rPr>
          <w:rFonts w:hint="eastAsia" w:ascii="宋体" w:hAnsi="宋体" w:eastAsia="宋体" w:cs="宋体"/>
          <w:sz w:val="32"/>
          <w:szCs w:val="32"/>
          <w:lang w:val="en-US" w:eastAsia="zh-CN"/>
        </w:rPr>
        <w:t>4.00</w:t>
      </w:r>
      <w:r>
        <w:rPr>
          <w:rFonts w:hint="eastAsia" w:ascii="宋体" w:hAnsi="宋体" w:eastAsia="宋体" w:cs="宋体"/>
          <w:sz w:val="32"/>
          <w:szCs w:val="32"/>
        </w:rPr>
        <w:t>%，主要是我局认真落实中央“八项规定”精神和厉行节约要求，管理制定不断完善，“三公”经费支出得到有效控制，实现了只减不增的目标。</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（三）公务接待费支出0.23万元。</w:t>
      </w:r>
      <w:r>
        <w:rPr>
          <w:rFonts w:hint="eastAsia" w:ascii="宋体" w:hAnsi="宋体" w:eastAsia="宋体" w:cs="宋体"/>
          <w:sz w:val="32"/>
          <w:szCs w:val="32"/>
        </w:rPr>
        <w:t>本部门2019年度公务接待共6批次、46人次。公务接待费支出较预算减少0.27万元，降低54</w:t>
      </w:r>
      <w:r>
        <w:rPr>
          <w:rFonts w:hint="eastAsia" w:ascii="宋体" w:hAnsi="宋体" w:eastAsia="宋体" w:cs="宋体"/>
          <w:sz w:val="32"/>
          <w:szCs w:val="32"/>
          <w:lang w:val="en-US" w:eastAsia="zh-CN"/>
        </w:rPr>
        <w:t>.00</w:t>
      </w:r>
      <w:r>
        <w:rPr>
          <w:rFonts w:hint="eastAsia" w:ascii="宋体" w:hAnsi="宋体" w:eastAsia="宋体" w:cs="宋体"/>
          <w:sz w:val="32"/>
          <w:szCs w:val="32"/>
        </w:rPr>
        <w:t>%,主要是我局认真落实中央“八项规定”精神和厉行节约要求，管理制定不断完善，“三公”经费支出得到有效控制，实现了只减不增的目标；较上年度减少0.27万元，降低54</w:t>
      </w:r>
      <w:r>
        <w:rPr>
          <w:rFonts w:hint="eastAsia" w:ascii="宋体" w:hAnsi="宋体" w:eastAsia="宋体" w:cs="宋体"/>
          <w:sz w:val="32"/>
          <w:szCs w:val="32"/>
          <w:lang w:val="en-US" w:eastAsia="zh-CN"/>
        </w:rPr>
        <w:t>.00</w:t>
      </w:r>
      <w:r>
        <w:rPr>
          <w:rFonts w:hint="eastAsia" w:ascii="宋体" w:hAnsi="宋体" w:eastAsia="宋体" w:cs="宋体"/>
          <w:sz w:val="32"/>
          <w:szCs w:val="32"/>
        </w:rPr>
        <w:t>%,主要是我局认真落实中央“八项规定”精神和厉行节约要求，管理制定不断完善，“三公”经费支出得到有效控制，实现了只减不增的目标。</w:t>
      </w:r>
    </w:p>
    <w:p>
      <w:pPr>
        <w:adjustRightInd w:val="0"/>
        <w:snapToGrid w:val="0"/>
        <w:spacing w:line="580" w:lineRule="exact"/>
        <w:ind w:firstLine="640" w:firstLineChars="200"/>
        <w:rPr>
          <w:rFonts w:hint="eastAsia" w:ascii="宋体" w:hAnsi="宋体" w:eastAsia="宋体" w:cs="宋体"/>
          <w:sz w:val="32"/>
          <w:szCs w:val="40"/>
        </w:rPr>
      </w:pPr>
      <w:r>
        <w:rPr>
          <w:rFonts w:hint="eastAsia" w:ascii="宋体" w:hAnsi="宋体" w:eastAsia="宋体" w:cs="宋体"/>
          <w:sz w:val="32"/>
          <w:szCs w:val="40"/>
        </w:rPr>
        <w:t>六、预算绩效情况说明</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 预算绩效管理工作开展情况。</w:t>
      </w:r>
    </w:p>
    <w:p>
      <w:pPr>
        <w:spacing w:line="360" w:lineRule="auto"/>
        <w:ind w:firstLine="627" w:firstLineChars="196"/>
        <w:rPr>
          <w:rFonts w:hint="eastAsia" w:ascii="宋体" w:hAnsi="宋体" w:eastAsia="宋体" w:cs="宋体"/>
          <w:sz w:val="32"/>
          <w:szCs w:val="32"/>
        </w:rPr>
      </w:pPr>
      <w:r>
        <w:rPr>
          <w:rFonts w:hint="eastAsia" w:ascii="宋体" w:hAnsi="宋体" w:eastAsia="宋体" w:cs="宋体"/>
          <w:sz w:val="32"/>
          <w:szCs w:val="32"/>
        </w:rPr>
        <w:t>根据预算绩效管理要求，本部门组织对2019年度一般公共预算项目支出全面开展绩效自评，其中，二级项目13个，共涉及资金524.5</w:t>
      </w:r>
      <w:r>
        <w:rPr>
          <w:rFonts w:hint="eastAsia" w:ascii="宋体" w:hAnsi="宋体" w:eastAsia="宋体" w:cs="宋体"/>
          <w:sz w:val="32"/>
          <w:szCs w:val="32"/>
          <w:lang w:val="en-US" w:eastAsia="zh-CN"/>
        </w:rPr>
        <w:t>0</w:t>
      </w:r>
      <w:r>
        <w:rPr>
          <w:rFonts w:hint="eastAsia" w:ascii="宋体" w:hAnsi="宋体" w:eastAsia="宋体" w:cs="宋体"/>
          <w:sz w:val="32"/>
          <w:szCs w:val="32"/>
        </w:rPr>
        <w:t>万元，占一般公共预算项目支出总额的100%。组织对</w:t>
      </w:r>
      <w:r>
        <w:rPr>
          <w:rFonts w:hint="eastAsia" w:ascii="宋体" w:hAnsi="宋体" w:eastAsia="宋体" w:cs="宋体"/>
          <w:sz w:val="30"/>
          <w:szCs w:val="30"/>
        </w:rPr>
        <w:t>检查分析工业企业运行、培育规上企业资金项目；组织全县工业企业技术改造项目；阜城县工业和信息化网建设项目；特色产业迭代升级培训费项目；特色产业编制规划项目；2019年省级工业转型升级技改专项资金项目；2019年省级中小企业发展专项资金项目</w:t>
      </w:r>
      <w:r>
        <w:rPr>
          <w:rFonts w:hint="eastAsia" w:ascii="宋体" w:hAnsi="宋体" w:eastAsia="宋体" w:cs="宋体"/>
          <w:sz w:val="32"/>
          <w:szCs w:val="32"/>
        </w:rPr>
        <w:t>等13个项目开展了部门评价，涉及一般公共预算支出524.5</w:t>
      </w:r>
      <w:r>
        <w:rPr>
          <w:rFonts w:hint="eastAsia" w:ascii="宋体" w:hAnsi="宋体" w:eastAsia="宋体" w:cs="宋体"/>
          <w:sz w:val="32"/>
          <w:szCs w:val="32"/>
          <w:lang w:val="en-US" w:eastAsia="zh-CN"/>
        </w:rPr>
        <w:t>0</w:t>
      </w:r>
      <w:r>
        <w:rPr>
          <w:rFonts w:hint="eastAsia" w:ascii="宋体" w:hAnsi="宋体" w:eastAsia="宋体" w:cs="宋体"/>
          <w:sz w:val="32"/>
          <w:szCs w:val="32"/>
        </w:rPr>
        <w:t>万元。从评价情况来看，2019年我县共争列省市重点项目21个，列全市第二位，其中省重点项目5个，市重点项目16个；开展项目集中开工活动3次，共开工项目15个；谋划重大项目13个，总投资257.4亿元，超额完成任务目标；积极参与省市开展的招商活动7次，签约项目6个，总投资827</w:t>
      </w:r>
      <w:r>
        <w:rPr>
          <w:rFonts w:hint="eastAsia" w:ascii="宋体" w:hAnsi="宋体" w:eastAsia="宋体" w:cs="宋体"/>
          <w:sz w:val="32"/>
          <w:szCs w:val="32"/>
          <w:lang w:val="en-US" w:eastAsia="zh-CN"/>
        </w:rPr>
        <w:t>000</w:t>
      </w:r>
      <w:r>
        <w:rPr>
          <w:rFonts w:hint="eastAsia" w:ascii="宋体" w:hAnsi="宋体" w:eastAsia="宋体" w:cs="宋体"/>
          <w:sz w:val="32"/>
          <w:szCs w:val="32"/>
          <w:lang w:eastAsia="zh-CN"/>
        </w:rPr>
        <w:t>万</w:t>
      </w:r>
      <w:r>
        <w:rPr>
          <w:rFonts w:hint="eastAsia" w:ascii="宋体" w:hAnsi="宋体" w:eastAsia="宋体" w:cs="宋体"/>
          <w:sz w:val="32"/>
          <w:szCs w:val="32"/>
        </w:rPr>
        <w:t>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加速产业转型升级，积极组织企业进行技术改造，2019年全年规模以上工业增加值增速8.6%，列全市第二位；工业投资增速10.4%，列全市第六位；培育新增规上企业7家，圆满完成市下达各项任务目标。</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千方百计化解重点群体及其他信访案件和难题，积极做好退役士兵安置工作。19年特殊节点和敏感群体多，面对繁重的信访工作任务，我们从维护企业职工、退役军人的切身利益入手，主动为县委政府分忧，坚持顾大局，识大体，倾尽全力，忠诚担当，直面矛盾，多次进京接访，做好上访人员的政策讲解和安抚工作，确保重要节点不出现进京、赴省、市上访事件，切实维护了我县社会大局稳定。</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专项资金和具体预算支出项目的达到了预期绩效目标。</w:t>
      </w:r>
    </w:p>
    <w:p>
      <w:pPr>
        <w:adjustRightInd w:val="0"/>
        <w:snapToGrid w:val="0"/>
        <w:spacing w:line="580" w:lineRule="exact"/>
        <w:ind w:left="420" w:leftChars="200" w:firstLine="321" w:firstLineChars="100"/>
        <w:rPr>
          <w:rFonts w:hint="eastAsia" w:ascii="宋体" w:hAnsi="宋体" w:eastAsia="宋体" w:cs="宋体"/>
          <w:b/>
          <w:bCs/>
          <w:sz w:val="32"/>
          <w:szCs w:val="32"/>
        </w:rPr>
      </w:pPr>
      <w:r>
        <w:rPr>
          <w:rFonts w:hint="eastAsia" w:ascii="宋体" w:hAnsi="宋体" w:eastAsia="宋体" w:cs="宋体"/>
          <w:b/>
          <w:bCs/>
          <w:sz w:val="32"/>
          <w:szCs w:val="32"/>
        </w:rPr>
        <w:t>2. 部门决算中项目绩效自评结果。</w:t>
      </w:r>
    </w:p>
    <w:p>
      <w:pPr>
        <w:adjustRightInd w:val="0"/>
        <w:snapToGrid w:val="0"/>
        <w:spacing w:after="0"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按照县财政预算绩效管理要求，工信局对2018年初确定的部门一般公共预算支出专项项目全面开展了绩效自评。阜城县工信局部门决算项目1</w:t>
      </w:r>
      <w:r>
        <w:rPr>
          <w:rFonts w:hint="eastAsia" w:ascii="宋体" w:hAnsi="宋体" w:eastAsia="宋体" w:cs="宋体"/>
          <w:sz w:val="32"/>
          <w:szCs w:val="32"/>
          <w:lang w:val="en-US" w:eastAsia="zh-CN"/>
        </w:rPr>
        <w:t>3</w:t>
      </w:r>
      <w:r>
        <w:rPr>
          <w:rFonts w:hint="eastAsia" w:ascii="宋体" w:hAnsi="宋体" w:eastAsia="宋体" w:cs="宋体"/>
          <w:sz w:val="32"/>
          <w:szCs w:val="32"/>
        </w:rPr>
        <w:t>个，共涉及预算资金</w:t>
      </w:r>
      <w:r>
        <w:rPr>
          <w:rFonts w:hint="eastAsia" w:ascii="宋体" w:hAnsi="宋体" w:eastAsia="宋体" w:cs="宋体"/>
          <w:sz w:val="32"/>
          <w:szCs w:val="32"/>
          <w:lang w:val="en-US" w:eastAsia="zh-CN"/>
        </w:rPr>
        <w:t>524.5</w:t>
      </w:r>
      <w:r>
        <w:rPr>
          <w:rFonts w:hint="eastAsia" w:ascii="宋体" w:hAnsi="宋体" w:eastAsia="宋体" w:cs="宋体"/>
          <w:sz w:val="32"/>
          <w:szCs w:val="32"/>
        </w:rPr>
        <w:t>万元，绩效自评覆盖率达到100%。</w:t>
      </w:r>
      <w:r>
        <w:rPr>
          <w:rFonts w:hint="eastAsia" w:ascii="宋体" w:hAnsi="宋体" w:eastAsia="宋体" w:cs="宋体"/>
          <w:sz w:val="32"/>
          <w:szCs w:val="32"/>
          <w:lang w:eastAsia="zh-CN"/>
        </w:rPr>
        <w:t>经过自评</w:t>
      </w:r>
      <w:r>
        <w:rPr>
          <w:rFonts w:hint="eastAsia" w:ascii="宋体" w:hAnsi="宋体" w:eastAsia="宋体" w:cs="宋体"/>
          <w:sz w:val="32"/>
          <w:szCs w:val="32"/>
          <w:lang w:val="en-US" w:eastAsia="zh-CN"/>
        </w:rPr>
        <w:t>11个专项资金项目中绩效自评为优的13个，评优率100%。</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本部门在今年部门决算公开中反映</w:t>
      </w:r>
      <w:r>
        <w:rPr>
          <w:rFonts w:hint="eastAsia" w:ascii="宋体" w:hAnsi="宋体" w:eastAsia="宋体" w:cs="宋体"/>
          <w:sz w:val="30"/>
          <w:szCs w:val="30"/>
        </w:rPr>
        <w:t>2019年省级工业转型升级技改专项资金项目；检查分析工业企业运行，培育规上企业资金项目；组织全县工业企业技术改造项目，</w:t>
      </w:r>
      <w:r>
        <w:rPr>
          <w:rFonts w:hint="eastAsia" w:ascii="宋体" w:hAnsi="宋体" w:eastAsia="宋体" w:cs="宋体"/>
          <w:sz w:val="32"/>
          <w:szCs w:val="32"/>
        </w:rPr>
        <w:t>等5个项目绩效自评结果。</w:t>
      </w:r>
    </w:p>
    <w:p>
      <w:pPr>
        <w:numPr>
          <w:ilvl w:val="0"/>
          <w:numId w:val="3"/>
        </w:numPr>
        <w:adjustRightInd w:val="0"/>
        <w:snapToGrid w:val="0"/>
        <w:spacing w:line="580" w:lineRule="exact"/>
        <w:ind w:firstLine="600" w:firstLineChars="200"/>
        <w:rPr>
          <w:rFonts w:hint="eastAsia" w:ascii="宋体" w:hAnsi="宋体" w:eastAsia="宋体" w:cs="宋体"/>
          <w:sz w:val="32"/>
          <w:szCs w:val="32"/>
        </w:rPr>
      </w:pPr>
      <w:r>
        <w:rPr>
          <w:rFonts w:hint="eastAsia" w:ascii="宋体" w:hAnsi="宋体" w:eastAsia="宋体" w:cs="宋体"/>
          <w:sz w:val="30"/>
          <w:szCs w:val="30"/>
        </w:rPr>
        <w:t>2019年省级工业转型升级技改专项资金</w:t>
      </w:r>
      <w:r>
        <w:rPr>
          <w:rFonts w:hint="eastAsia" w:ascii="宋体" w:hAnsi="宋体" w:eastAsia="宋体" w:cs="宋体"/>
          <w:sz w:val="32"/>
          <w:szCs w:val="32"/>
        </w:rPr>
        <w:t>项目自评综述：根据年初设定的绩效目标，</w:t>
      </w:r>
      <w:r>
        <w:rPr>
          <w:rFonts w:hint="eastAsia" w:ascii="宋体" w:hAnsi="宋体" w:eastAsia="宋体" w:cs="宋体"/>
          <w:sz w:val="30"/>
          <w:szCs w:val="30"/>
        </w:rPr>
        <w:t>2019年省级工业转型升级技改专项资金</w:t>
      </w:r>
      <w:r>
        <w:rPr>
          <w:rFonts w:hint="eastAsia" w:ascii="宋体" w:hAnsi="宋体" w:eastAsia="宋体" w:cs="宋体"/>
          <w:sz w:val="32"/>
          <w:szCs w:val="32"/>
        </w:rPr>
        <w:t>项目绩效自评得分为96分（绩效自评表附后）。全年预算数为102万元，执行数为102万元，完成预算的100%。项目绩效目标完成情况：瑞腾博远公司投产达效后，生产正常，多吸纳了就业人员，并多缴纳税金，取得了较好的经济效益和社会效益。下一步工作措施：按照要求将此项资金拨付与企业，推动了企业的技术改造工作，使企业发挥了更好的经济效益和社会效益。</w:t>
      </w:r>
    </w:p>
    <w:tbl>
      <w:tblPr>
        <w:tblStyle w:val="8"/>
        <w:tblW w:w="9200" w:type="dxa"/>
        <w:tblInd w:w="91" w:type="dxa"/>
        <w:tblLayout w:type="fixed"/>
        <w:tblCellMar>
          <w:top w:w="0" w:type="dxa"/>
          <w:left w:w="108" w:type="dxa"/>
          <w:bottom w:w="0" w:type="dxa"/>
          <w:right w:w="108" w:type="dxa"/>
        </w:tblCellMar>
      </w:tblPr>
      <w:tblGrid>
        <w:gridCol w:w="1580"/>
        <w:gridCol w:w="1100"/>
        <w:gridCol w:w="1120"/>
        <w:gridCol w:w="940"/>
        <w:gridCol w:w="880"/>
        <w:gridCol w:w="1040"/>
        <w:gridCol w:w="1200"/>
        <w:gridCol w:w="1340"/>
      </w:tblGrid>
      <w:tr>
        <w:tblPrEx>
          <w:tblCellMar>
            <w:top w:w="0" w:type="dxa"/>
            <w:left w:w="108" w:type="dxa"/>
            <w:bottom w:w="0" w:type="dxa"/>
            <w:right w:w="108" w:type="dxa"/>
          </w:tblCellMar>
        </w:tblPrEx>
        <w:trPr>
          <w:trHeight w:val="755" w:hRule="atLeast"/>
        </w:trPr>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一、基本情况</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2019年省级工业转型升级技改专项资金</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实施（主管）单位</w:t>
            </w:r>
          </w:p>
        </w:tc>
        <w:tc>
          <w:tcPr>
            <w:tcW w:w="25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阜城县工业和信息化局</w:t>
            </w:r>
          </w:p>
        </w:tc>
      </w:tr>
      <w:tr>
        <w:tblPrEx>
          <w:tblCellMar>
            <w:top w:w="0" w:type="dxa"/>
            <w:left w:w="108" w:type="dxa"/>
            <w:bottom w:w="0" w:type="dxa"/>
            <w:right w:w="108" w:type="dxa"/>
          </w:tblCellMar>
        </w:tblPrEx>
        <w:trPr>
          <w:trHeight w:val="720" w:hRule="atLeast"/>
        </w:trPr>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二、预算执行情况</w:t>
            </w:r>
          </w:p>
        </w:tc>
        <w:tc>
          <w:tcPr>
            <w:tcW w:w="22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预算安排情况（调整后）</w:t>
            </w:r>
          </w:p>
        </w:tc>
        <w:tc>
          <w:tcPr>
            <w:tcW w:w="18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资金到位情况</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资金执行情况</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预算执行进度</w:t>
            </w:r>
          </w:p>
        </w:tc>
      </w:tr>
      <w:tr>
        <w:tblPrEx>
          <w:tblCellMar>
            <w:top w:w="0" w:type="dxa"/>
            <w:left w:w="108" w:type="dxa"/>
            <w:bottom w:w="0" w:type="dxa"/>
            <w:right w:w="108" w:type="dxa"/>
          </w:tblCellMar>
        </w:tblPrEx>
        <w:trPr>
          <w:trHeight w:val="648"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到位数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执行数</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768"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515"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553" w:hRule="atLeast"/>
        </w:trPr>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三、目标完成情况</w:t>
            </w:r>
          </w:p>
        </w:tc>
        <w:tc>
          <w:tcPr>
            <w:tcW w:w="31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年度预期目标</w:t>
            </w:r>
          </w:p>
        </w:tc>
        <w:tc>
          <w:tcPr>
            <w:tcW w:w="31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具体完成情况</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总体完成率</w:t>
            </w:r>
          </w:p>
        </w:tc>
      </w:tr>
      <w:tr>
        <w:tblPrEx>
          <w:tblCellMar>
            <w:top w:w="0" w:type="dxa"/>
            <w:left w:w="108" w:type="dxa"/>
            <w:bottom w:w="0" w:type="dxa"/>
            <w:right w:w="108" w:type="dxa"/>
          </w:tblCellMar>
        </w:tblPrEx>
        <w:trPr>
          <w:trHeight w:val="1188"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31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瑞腾博远公司投产达效，所有生产线能够正常生产，发挥其经济效益和社会效益</w:t>
            </w:r>
          </w:p>
        </w:tc>
        <w:tc>
          <w:tcPr>
            <w:tcW w:w="31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瑞腾博远公司投产达效后，生产正常，多吸纳了就业人员，并多缴纳税金，取得了较好的经济效益和社会效益。</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720" w:hRule="atLeast"/>
        </w:trPr>
        <w:tc>
          <w:tcPr>
            <w:tcW w:w="1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四、年度绩效指标完成情况</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预期指标值</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实际完成值</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自评得分</w:t>
            </w:r>
          </w:p>
        </w:tc>
      </w:tr>
      <w:tr>
        <w:tblPrEx>
          <w:tblCellMar>
            <w:top w:w="0" w:type="dxa"/>
            <w:left w:w="108" w:type="dxa"/>
            <w:bottom w:w="0" w:type="dxa"/>
            <w:right w:w="108" w:type="dxa"/>
          </w:tblCellMar>
        </w:tblPrEx>
        <w:trPr>
          <w:trHeight w:val="91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产出指标（50分）</w:t>
            </w:r>
          </w:p>
        </w:tc>
        <w:tc>
          <w:tcPr>
            <w:tcW w:w="1120" w:type="dxa"/>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项目建设全部完成，并投入生产</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&gt;90%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CellMar>
            <w:top w:w="0" w:type="dxa"/>
            <w:left w:w="108" w:type="dxa"/>
            <w:bottom w:w="0" w:type="dxa"/>
            <w:right w:w="108" w:type="dxa"/>
          </w:tblCellMar>
        </w:tblPrEx>
        <w:trPr>
          <w:trHeight w:val="8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2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质量指标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完成新建车间，满足生产需求</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&gt;90%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CellMar>
            <w:top w:w="0" w:type="dxa"/>
            <w:left w:w="108" w:type="dxa"/>
            <w:bottom w:w="0" w:type="dxa"/>
            <w:right w:w="108" w:type="dxa"/>
          </w:tblCellMar>
        </w:tblPrEx>
        <w:trPr>
          <w:trHeight w:val="84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2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生产线设备全部购进，并如期安装完成</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&gt;90%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CellMar>
            <w:top w:w="0" w:type="dxa"/>
            <w:left w:w="108" w:type="dxa"/>
            <w:bottom w:w="0" w:type="dxa"/>
            <w:right w:w="108" w:type="dxa"/>
          </w:tblCellMar>
        </w:tblPrEx>
        <w:trPr>
          <w:trHeight w:val="9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效益指标（30分）</w:t>
            </w: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补贴所带来的经济效益增加情况</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&gt;90%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r>
      <w:tr>
        <w:tblPrEx>
          <w:tblCellMar>
            <w:top w:w="0" w:type="dxa"/>
            <w:left w:w="108" w:type="dxa"/>
            <w:bottom w:w="0" w:type="dxa"/>
            <w:right w:w="108" w:type="dxa"/>
          </w:tblCellMar>
        </w:tblPrEx>
        <w:trPr>
          <w:trHeight w:val="79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社会效益指标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社会服务能力提升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&gt;90%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r>
      <w:tr>
        <w:tblPrEx>
          <w:tblCellMar>
            <w:top w:w="0" w:type="dxa"/>
            <w:left w:w="108" w:type="dxa"/>
            <w:bottom w:w="0" w:type="dxa"/>
            <w:right w:w="108" w:type="dxa"/>
          </w:tblCellMar>
        </w:tblPrEx>
        <w:trPr>
          <w:trHeight w:val="84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满意度指标（10分）</w:t>
            </w: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受益对象满意度（%）</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&gt;90%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7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预算执行率（10分）</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5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628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96</w:t>
            </w:r>
          </w:p>
        </w:tc>
      </w:tr>
    </w:tbl>
    <w:p>
      <w:pPr>
        <w:adjustRightInd w:val="0"/>
        <w:snapToGrid w:val="0"/>
        <w:spacing w:line="580" w:lineRule="exact"/>
        <w:ind w:left="640"/>
        <w:rPr>
          <w:rFonts w:hint="eastAsia" w:ascii="宋体" w:hAnsi="宋体" w:eastAsia="宋体" w:cs="宋体"/>
          <w:sz w:val="32"/>
          <w:szCs w:val="32"/>
        </w:rPr>
      </w:pPr>
    </w:p>
    <w:p>
      <w:pPr>
        <w:numPr>
          <w:ilvl w:val="0"/>
          <w:numId w:val="3"/>
        </w:numPr>
        <w:adjustRightInd w:val="0"/>
        <w:snapToGrid w:val="0"/>
        <w:spacing w:line="580" w:lineRule="exact"/>
        <w:ind w:firstLine="600" w:firstLineChars="200"/>
        <w:rPr>
          <w:rFonts w:hint="eastAsia" w:ascii="宋体" w:hAnsi="宋体" w:eastAsia="宋体" w:cs="宋体"/>
          <w:sz w:val="32"/>
          <w:szCs w:val="32"/>
        </w:rPr>
      </w:pPr>
      <w:r>
        <w:rPr>
          <w:rFonts w:hint="eastAsia" w:ascii="宋体" w:hAnsi="宋体" w:eastAsia="宋体" w:cs="宋体"/>
          <w:sz w:val="30"/>
          <w:szCs w:val="30"/>
        </w:rPr>
        <w:t>检查分析工业企业运行，培育规上企业资金</w:t>
      </w:r>
      <w:r>
        <w:rPr>
          <w:rFonts w:hint="eastAsia" w:ascii="宋体" w:hAnsi="宋体" w:eastAsia="宋体" w:cs="宋体"/>
          <w:sz w:val="32"/>
          <w:szCs w:val="32"/>
        </w:rPr>
        <w:t>项目绩效自评综述：根据年初设定的绩效目标，</w:t>
      </w:r>
      <w:r>
        <w:rPr>
          <w:rFonts w:hint="eastAsia" w:ascii="宋体" w:hAnsi="宋体" w:eastAsia="宋体" w:cs="宋体"/>
          <w:sz w:val="30"/>
          <w:szCs w:val="30"/>
        </w:rPr>
        <w:t>检查分析工业企业运行，培育规上企业资金</w:t>
      </w:r>
      <w:r>
        <w:rPr>
          <w:rFonts w:hint="eastAsia" w:ascii="宋体" w:hAnsi="宋体" w:eastAsia="宋体" w:cs="宋体"/>
          <w:sz w:val="32"/>
          <w:szCs w:val="32"/>
        </w:rPr>
        <w:t>项目绩效自评得分为99分（绩效自评表附后）。全年预算数为3万元，执行数为3万元，完成预算的100%。项目绩效目标完成情况：全年培育新增规上企业7家，实现了对175家企业运行情况的监控，进企业调研6次，提供导服务10次，企业对入企服务满意度达到93%，规上企业工业增加值实现增速12%，圆满完成各项任务，促进了我县工业经济平稳快速发。下一步工作措施：进一步完善运行分析监测制度，加大对全县重点工业企业的运行监测，加大对拟培育规上企业的帮扶和跟踪监测，及时将监测到的相关情况，归纳总结，上报县政府领导，更好地发挥参谋助手作用。</w:t>
      </w:r>
    </w:p>
    <w:p>
      <w:pPr>
        <w:adjustRightInd w:val="0"/>
        <w:snapToGrid w:val="0"/>
        <w:spacing w:line="580" w:lineRule="exact"/>
        <w:rPr>
          <w:rFonts w:hint="eastAsia" w:ascii="宋体" w:hAnsi="宋体" w:eastAsia="宋体" w:cs="宋体"/>
          <w:sz w:val="32"/>
          <w:szCs w:val="32"/>
        </w:rPr>
      </w:pPr>
    </w:p>
    <w:p>
      <w:pPr>
        <w:adjustRightInd w:val="0"/>
        <w:snapToGrid w:val="0"/>
        <w:spacing w:line="580" w:lineRule="exact"/>
        <w:rPr>
          <w:rFonts w:hint="eastAsia" w:ascii="宋体" w:hAnsi="宋体" w:eastAsia="宋体" w:cs="宋体"/>
          <w:sz w:val="32"/>
          <w:szCs w:val="32"/>
        </w:rPr>
      </w:pPr>
    </w:p>
    <w:tbl>
      <w:tblPr>
        <w:tblStyle w:val="8"/>
        <w:tblW w:w="8940" w:type="dxa"/>
        <w:tblInd w:w="91" w:type="dxa"/>
        <w:tblLayout w:type="fixed"/>
        <w:tblCellMar>
          <w:top w:w="0" w:type="dxa"/>
          <w:left w:w="108" w:type="dxa"/>
          <w:bottom w:w="0" w:type="dxa"/>
          <w:right w:w="108" w:type="dxa"/>
        </w:tblCellMar>
      </w:tblPr>
      <w:tblGrid>
        <w:gridCol w:w="1240"/>
        <w:gridCol w:w="960"/>
        <w:gridCol w:w="880"/>
        <w:gridCol w:w="940"/>
        <w:gridCol w:w="880"/>
        <w:gridCol w:w="1400"/>
        <w:gridCol w:w="1400"/>
        <w:gridCol w:w="1240"/>
      </w:tblGrid>
      <w:tr>
        <w:tblPrEx>
          <w:tblCellMar>
            <w:top w:w="0" w:type="dxa"/>
            <w:left w:w="108" w:type="dxa"/>
            <w:bottom w:w="0" w:type="dxa"/>
            <w:right w:w="108" w:type="dxa"/>
          </w:tblCellMar>
        </w:tblPrEx>
        <w:trPr>
          <w:trHeight w:val="420" w:hRule="atLeast"/>
        </w:trPr>
        <w:tc>
          <w:tcPr>
            <w:tcW w:w="8940" w:type="dxa"/>
            <w:gridSpan w:val="8"/>
            <w:tcBorders>
              <w:top w:val="nil"/>
              <w:left w:val="nil"/>
              <w:bottom w:val="nil"/>
              <w:right w:val="nil"/>
            </w:tcBorders>
            <w:shd w:val="clear" w:color="auto" w:fill="auto"/>
            <w:vAlign w:val="center"/>
          </w:tcPr>
          <w:p>
            <w:pPr>
              <w:widowControl/>
              <w:jc w:val="center"/>
              <w:rPr>
                <w:rFonts w:hint="eastAsia" w:ascii="宋体" w:hAnsi="宋体" w:eastAsia="宋体" w:cs="宋体"/>
                <w:b/>
                <w:bCs/>
                <w:color w:val="000000"/>
                <w:kern w:val="0"/>
                <w:sz w:val="32"/>
                <w:szCs w:val="32"/>
              </w:rPr>
            </w:pPr>
          </w:p>
        </w:tc>
      </w:tr>
      <w:tr>
        <w:tblPrEx>
          <w:tblCellMar>
            <w:top w:w="0" w:type="dxa"/>
            <w:left w:w="108" w:type="dxa"/>
            <w:bottom w:w="0" w:type="dxa"/>
            <w:right w:w="108" w:type="dxa"/>
          </w:tblCellMar>
        </w:tblPrEx>
        <w:trPr>
          <w:trHeight w:val="325" w:hRule="atLeast"/>
        </w:trPr>
        <w:tc>
          <w:tcPr>
            <w:tcW w:w="8940" w:type="dxa"/>
            <w:gridSpan w:val="8"/>
            <w:tcBorders>
              <w:top w:val="nil"/>
              <w:left w:val="nil"/>
              <w:bottom w:val="nil"/>
              <w:right w:val="nil"/>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280" w:hRule="atLeast"/>
        </w:trPr>
        <w:tc>
          <w:tcPr>
            <w:tcW w:w="124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0"/>
                <w:szCs w:val="20"/>
              </w:rPr>
            </w:pPr>
          </w:p>
        </w:tc>
        <w:tc>
          <w:tcPr>
            <w:tcW w:w="3660" w:type="dxa"/>
            <w:gridSpan w:val="4"/>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color w:val="000000"/>
                <w:kern w:val="0"/>
                <w:sz w:val="20"/>
                <w:szCs w:val="20"/>
              </w:rPr>
            </w:pPr>
          </w:p>
        </w:tc>
        <w:tc>
          <w:tcPr>
            <w:tcW w:w="140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0"/>
                <w:szCs w:val="20"/>
              </w:rPr>
            </w:pPr>
          </w:p>
        </w:tc>
        <w:tc>
          <w:tcPr>
            <w:tcW w:w="2640" w:type="dxa"/>
            <w:gridSpan w:val="2"/>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733" w:hRule="atLeast"/>
        </w:trPr>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一、基本情况</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27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工业企业运行监测</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实施（主管）单位</w:t>
            </w:r>
          </w:p>
        </w:tc>
        <w:tc>
          <w:tcPr>
            <w:tcW w:w="26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阜城县工业和信息化局</w:t>
            </w:r>
          </w:p>
        </w:tc>
      </w:tr>
      <w:tr>
        <w:tblPrEx>
          <w:tblCellMar>
            <w:top w:w="0" w:type="dxa"/>
            <w:left w:w="108" w:type="dxa"/>
            <w:bottom w:w="0" w:type="dxa"/>
            <w:right w:w="108" w:type="dxa"/>
          </w:tblCellMar>
        </w:tblPrEx>
        <w:trPr>
          <w:trHeight w:val="648" w:hRule="atLeast"/>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二、预算执行情况</w:t>
            </w:r>
          </w:p>
        </w:tc>
        <w:tc>
          <w:tcPr>
            <w:tcW w:w="18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预算安排情况（调整后）</w:t>
            </w:r>
          </w:p>
        </w:tc>
        <w:tc>
          <w:tcPr>
            <w:tcW w:w="18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资金到位情况</w:t>
            </w:r>
          </w:p>
        </w:tc>
        <w:tc>
          <w:tcPr>
            <w:tcW w:w="28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资金执行情况</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预算执行进度</w:t>
            </w:r>
          </w:p>
        </w:tc>
      </w:tr>
      <w:tr>
        <w:tblPrEx>
          <w:tblCellMar>
            <w:top w:w="0" w:type="dxa"/>
            <w:left w:w="108" w:type="dxa"/>
            <w:bottom w:w="0" w:type="dxa"/>
            <w:right w:w="108" w:type="dxa"/>
          </w:tblCellMar>
        </w:tblPrEx>
        <w:trPr>
          <w:trHeight w:val="600"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到位数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执行数</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708"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588"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600" w:hRule="atLeast"/>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三、目标完成情况</w:t>
            </w:r>
          </w:p>
        </w:tc>
        <w:tc>
          <w:tcPr>
            <w:tcW w:w="27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年度预期目标</w:t>
            </w:r>
          </w:p>
        </w:tc>
        <w:tc>
          <w:tcPr>
            <w:tcW w:w="36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具体完成情况</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总体完成率</w:t>
            </w:r>
          </w:p>
        </w:tc>
      </w:tr>
      <w:tr>
        <w:tblPrEx>
          <w:tblCellMar>
            <w:top w:w="0" w:type="dxa"/>
            <w:left w:w="108" w:type="dxa"/>
            <w:bottom w:w="0" w:type="dxa"/>
            <w:right w:w="108" w:type="dxa"/>
          </w:tblCellMar>
        </w:tblPrEx>
        <w:trPr>
          <w:trHeight w:val="1470"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2780"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1、加强对全县工业企业的运行分析、监测。2、加大入企调研力度，掌握企业运行态势。3、加强对企业的指导、服务。</w:t>
            </w:r>
          </w:p>
        </w:tc>
        <w:tc>
          <w:tcPr>
            <w:tcW w:w="368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after="24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全年培育新增规上企业7家，实现了对175家企业运行情况的监控，进企业调研6次，提供导服务10次，企业对入企服务满意度达到93%，规上企业工业增加值实现增速12%，圆满完成各项任务，促进了我县工业经济平稳快速发。</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708" w:hRule="atLeast"/>
        </w:trPr>
        <w:tc>
          <w:tcPr>
            <w:tcW w:w="12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四、年度绩效指标完成情况</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预期指标值</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实际完成值</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自评得分</w:t>
            </w:r>
          </w:p>
        </w:tc>
      </w:tr>
      <w:tr>
        <w:tblPrEx>
          <w:tblCellMar>
            <w:top w:w="0" w:type="dxa"/>
            <w:left w:w="108" w:type="dxa"/>
            <w:bottom w:w="0" w:type="dxa"/>
            <w:right w:w="108" w:type="dxa"/>
          </w:tblCellMar>
        </w:tblPrEx>
        <w:trPr>
          <w:trHeight w:val="805"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产出指标（50分）</w:t>
            </w:r>
          </w:p>
        </w:tc>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重点监测企业的个数</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150家</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175家</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CellMar>
            <w:top w:w="0" w:type="dxa"/>
            <w:left w:w="108" w:type="dxa"/>
            <w:bottom w:w="0" w:type="dxa"/>
            <w:right w:w="108" w:type="dxa"/>
          </w:tblCellMar>
        </w:tblPrEx>
        <w:trPr>
          <w:trHeight w:val="745"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入企业调研次数</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595"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指导企业、服务企业的次数</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20次</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25次</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CellMar>
            <w:top w:w="0" w:type="dxa"/>
            <w:left w:w="108" w:type="dxa"/>
            <w:bottom w:w="0" w:type="dxa"/>
            <w:right w:w="108" w:type="dxa"/>
          </w:tblCellMar>
        </w:tblPrEx>
        <w:trPr>
          <w:trHeight w:val="793"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效益指标（30分）</w:t>
            </w:r>
          </w:p>
        </w:tc>
        <w:tc>
          <w:tcPr>
            <w:tcW w:w="8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年内新增规上企业个数</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CellMar>
            <w:top w:w="0" w:type="dxa"/>
            <w:left w:w="108" w:type="dxa"/>
            <w:bottom w:w="0" w:type="dxa"/>
            <w:right w:w="108" w:type="dxa"/>
          </w:tblCellMar>
        </w:tblPrEx>
        <w:trPr>
          <w:trHeight w:val="935"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规上企业增加值年均增速（%）</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&gt;5%</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820"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满意度指标（10分）</w:t>
            </w:r>
          </w:p>
        </w:tc>
        <w:tc>
          <w:tcPr>
            <w:tcW w:w="880" w:type="dxa"/>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企业对入企业服务的满意度（%）</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r>
      <w:tr>
        <w:tblPrEx>
          <w:tblCellMar>
            <w:top w:w="0" w:type="dxa"/>
            <w:left w:w="108" w:type="dxa"/>
            <w:bottom w:w="0" w:type="dxa"/>
            <w:right w:w="108" w:type="dxa"/>
          </w:tblCellMar>
        </w:tblPrEx>
        <w:trPr>
          <w:trHeight w:val="1020"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预算执行率（10分）</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733"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646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99</w:t>
            </w:r>
          </w:p>
        </w:tc>
      </w:tr>
      <w:tr>
        <w:tblPrEx>
          <w:tblCellMar>
            <w:top w:w="0" w:type="dxa"/>
            <w:left w:w="108" w:type="dxa"/>
            <w:bottom w:w="0" w:type="dxa"/>
            <w:right w:w="108" w:type="dxa"/>
          </w:tblCellMar>
        </w:tblPrEx>
        <w:trPr>
          <w:trHeight w:val="880"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五、存在问题、原因及下一步整改措施</w:t>
            </w:r>
          </w:p>
        </w:tc>
        <w:tc>
          <w:tcPr>
            <w:tcW w:w="770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（主要填写项目绩效存在问题及原因分析，下一步拟采取的纠偏措施及对策建议，项目绩效目标指标设定存在的问题及修改完善措施）</w:t>
            </w:r>
          </w:p>
        </w:tc>
      </w:tr>
      <w:tr>
        <w:tblPrEx>
          <w:tblCellMar>
            <w:top w:w="0" w:type="dxa"/>
            <w:left w:w="108" w:type="dxa"/>
            <w:bottom w:w="0" w:type="dxa"/>
            <w:right w:w="108" w:type="dxa"/>
          </w:tblCellMar>
        </w:tblPrEx>
        <w:trPr>
          <w:trHeight w:val="505" w:hRule="atLeast"/>
        </w:trPr>
        <w:tc>
          <w:tcPr>
            <w:tcW w:w="124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填报表：</w:t>
            </w:r>
          </w:p>
        </w:tc>
        <w:tc>
          <w:tcPr>
            <w:tcW w:w="96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高红朝</w:t>
            </w:r>
          </w:p>
        </w:tc>
        <w:tc>
          <w:tcPr>
            <w:tcW w:w="88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p>
        </w:tc>
        <w:tc>
          <w:tcPr>
            <w:tcW w:w="94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p>
        </w:tc>
        <w:tc>
          <w:tcPr>
            <w:tcW w:w="88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p>
        </w:tc>
        <w:tc>
          <w:tcPr>
            <w:tcW w:w="140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联系电话：</w:t>
            </w:r>
          </w:p>
        </w:tc>
        <w:tc>
          <w:tcPr>
            <w:tcW w:w="1400" w:type="dxa"/>
            <w:tcBorders>
              <w:top w:val="nil"/>
              <w:left w:val="nil"/>
              <w:bottom w:val="nil"/>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4622468</w:t>
            </w:r>
          </w:p>
        </w:tc>
        <w:tc>
          <w:tcPr>
            <w:tcW w:w="124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p>
        </w:tc>
      </w:tr>
    </w:tbl>
    <w:p>
      <w:pPr>
        <w:spacing w:line="560" w:lineRule="exact"/>
        <w:rPr>
          <w:rFonts w:hint="eastAsia" w:ascii="宋体" w:hAnsi="宋体" w:eastAsia="宋体" w:cs="宋体"/>
          <w:sz w:val="32"/>
          <w:szCs w:val="32"/>
        </w:rPr>
      </w:pPr>
    </w:p>
    <w:p>
      <w:pPr>
        <w:numPr>
          <w:ilvl w:val="0"/>
          <w:numId w:val="3"/>
        </w:numPr>
        <w:adjustRightInd w:val="0"/>
        <w:snapToGrid w:val="0"/>
        <w:spacing w:line="580" w:lineRule="exact"/>
        <w:ind w:firstLine="600" w:firstLineChars="200"/>
        <w:rPr>
          <w:rFonts w:hint="eastAsia" w:ascii="宋体" w:hAnsi="宋体" w:eastAsia="宋体" w:cs="宋体"/>
          <w:sz w:val="32"/>
          <w:szCs w:val="32"/>
        </w:rPr>
      </w:pPr>
      <w:r>
        <w:rPr>
          <w:rFonts w:hint="eastAsia" w:ascii="宋体" w:hAnsi="宋体" w:eastAsia="宋体" w:cs="宋体"/>
          <w:sz w:val="30"/>
          <w:szCs w:val="30"/>
        </w:rPr>
        <w:t>组织全县工业企业技术改造项目</w:t>
      </w:r>
      <w:r>
        <w:rPr>
          <w:rFonts w:hint="eastAsia" w:ascii="宋体" w:hAnsi="宋体" w:eastAsia="宋体" w:cs="宋体"/>
          <w:sz w:val="32"/>
          <w:szCs w:val="32"/>
        </w:rPr>
        <w:t>绩效自评综述：根据年初设定的绩效目标，</w:t>
      </w:r>
      <w:r>
        <w:rPr>
          <w:rFonts w:hint="eastAsia" w:ascii="宋体" w:hAnsi="宋体" w:eastAsia="宋体" w:cs="宋体"/>
          <w:sz w:val="30"/>
          <w:szCs w:val="30"/>
        </w:rPr>
        <w:t>组织全县工业企业技术改造项目</w:t>
      </w:r>
      <w:r>
        <w:rPr>
          <w:rFonts w:hint="eastAsia" w:ascii="宋体" w:hAnsi="宋体" w:eastAsia="宋体" w:cs="宋体"/>
          <w:sz w:val="32"/>
          <w:szCs w:val="32"/>
        </w:rPr>
        <w:t>绩效自评得分为99分（绩效自评表附后）。全年预算数为5万元，执行数为5万元，完成预算的100%。项目绩效目标完成情况：2019年财政拨付工信局组织全县工业企业技术改造项目资金5万元，用于促进我县工业企业技术改造改造，加速产业转型升级，全年实施技改项目32个，新入全省技术改造项目库项目10家。下一步工作措施：进一步加大推进工业企业技术改造力度，加大工业企业的转型升级力度，积极帮助工业企业引进新技术、新工艺，帮助企业抓技改，上项目，促进我县工业企业走向高质量发展</w:t>
      </w:r>
    </w:p>
    <w:tbl>
      <w:tblPr>
        <w:tblStyle w:val="8"/>
        <w:tblW w:w="9060" w:type="dxa"/>
        <w:tblInd w:w="91" w:type="dxa"/>
        <w:tblLayout w:type="fixed"/>
        <w:tblCellMar>
          <w:top w:w="0" w:type="dxa"/>
          <w:left w:w="108" w:type="dxa"/>
          <w:bottom w:w="0" w:type="dxa"/>
          <w:right w:w="108" w:type="dxa"/>
        </w:tblCellMar>
      </w:tblPr>
      <w:tblGrid>
        <w:gridCol w:w="1340"/>
        <w:gridCol w:w="960"/>
        <w:gridCol w:w="1180"/>
        <w:gridCol w:w="940"/>
        <w:gridCol w:w="960"/>
        <w:gridCol w:w="1120"/>
        <w:gridCol w:w="1120"/>
        <w:gridCol w:w="1440"/>
      </w:tblGrid>
      <w:tr>
        <w:tblPrEx>
          <w:tblCellMar>
            <w:top w:w="0" w:type="dxa"/>
            <w:left w:w="108" w:type="dxa"/>
            <w:bottom w:w="0" w:type="dxa"/>
            <w:right w:w="108" w:type="dxa"/>
          </w:tblCellMar>
        </w:tblPrEx>
        <w:trPr>
          <w:trHeight w:val="420" w:hRule="atLeast"/>
        </w:trPr>
        <w:tc>
          <w:tcPr>
            <w:tcW w:w="9060" w:type="dxa"/>
            <w:gridSpan w:val="8"/>
            <w:tcBorders>
              <w:top w:val="nil"/>
              <w:left w:val="nil"/>
              <w:bottom w:val="nil"/>
              <w:right w:val="nil"/>
            </w:tcBorders>
            <w:shd w:val="clear" w:color="auto" w:fill="auto"/>
            <w:vAlign w:val="center"/>
          </w:tcPr>
          <w:p>
            <w:pPr>
              <w:widowControl/>
              <w:rPr>
                <w:rFonts w:hint="eastAsia" w:ascii="宋体" w:hAnsi="宋体" w:eastAsia="宋体" w:cs="宋体"/>
                <w:b/>
                <w:bCs/>
                <w:color w:val="000000"/>
                <w:kern w:val="0"/>
                <w:sz w:val="32"/>
                <w:szCs w:val="32"/>
              </w:rPr>
            </w:pPr>
          </w:p>
        </w:tc>
      </w:tr>
      <w:tr>
        <w:tblPrEx>
          <w:tblCellMar>
            <w:top w:w="0" w:type="dxa"/>
            <w:left w:w="108" w:type="dxa"/>
            <w:bottom w:w="0" w:type="dxa"/>
            <w:right w:w="108" w:type="dxa"/>
          </w:tblCellMar>
        </w:tblPrEx>
        <w:trPr>
          <w:trHeight w:val="360" w:hRule="atLeast"/>
        </w:trPr>
        <w:tc>
          <w:tcPr>
            <w:tcW w:w="9060" w:type="dxa"/>
            <w:gridSpan w:val="8"/>
            <w:tcBorders>
              <w:top w:val="nil"/>
              <w:left w:val="nil"/>
              <w:bottom w:val="nil"/>
              <w:right w:val="nil"/>
            </w:tcBorders>
            <w:shd w:val="clear" w:color="auto" w:fill="auto"/>
            <w:vAlign w:val="center"/>
          </w:tcPr>
          <w:p>
            <w:pPr>
              <w:widowControl/>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280" w:hRule="atLeast"/>
        </w:trPr>
        <w:tc>
          <w:tcPr>
            <w:tcW w:w="134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0"/>
                <w:szCs w:val="20"/>
              </w:rPr>
            </w:pPr>
          </w:p>
        </w:tc>
        <w:tc>
          <w:tcPr>
            <w:tcW w:w="5160" w:type="dxa"/>
            <w:gridSpan w:val="5"/>
            <w:tcBorders>
              <w:top w:val="nil"/>
              <w:left w:val="nil"/>
              <w:bottom w:val="single" w:color="auto" w:sz="4" w:space="0"/>
              <w:right w:val="nil"/>
            </w:tcBorders>
            <w:shd w:val="clear" w:color="auto" w:fill="auto"/>
            <w:vAlign w:val="center"/>
          </w:tcPr>
          <w:p>
            <w:pPr>
              <w:widowControl/>
              <w:jc w:val="left"/>
              <w:rPr>
                <w:rFonts w:hint="eastAsia" w:ascii="宋体" w:hAnsi="宋体" w:eastAsia="宋体" w:cs="宋体"/>
                <w:color w:val="000000"/>
                <w:kern w:val="0"/>
                <w:sz w:val="20"/>
                <w:szCs w:val="20"/>
              </w:rPr>
            </w:pPr>
          </w:p>
        </w:tc>
        <w:tc>
          <w:tcPr>
            <w:tcW w:w="2560" w:type="dxa"/>
            <w:gridSpan w:val="2"/>
            <w:tcBorders>
              <w:top w:val="nil"/>
              <w:left w:val="nil"/>
              <w:bottom w:val="single" w:color="auto" w:sz="4" w:space="0"/>
              <w:right w:val="nil"/>
            </w:tcBorders>
            <w:shd w:val="clear" w:color="auto" w:fill="auto"/>
            <w:vAlign w:val="center"/>
          </w:tcPr>
          <w:p>
            <w:pPr>
              <w:widowControl/>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一、基本情况</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30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推进企业技术改造项目</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实施（主管）单位</w:t>
            </w:r>
          </w:p>
        </w:tc>
        <w:tc>
          <w:tcPr>
            <w:tcW w:w="2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阜城县工业和信息化局</w:t>
            </w:r>
          </w:p>
        </w:tc>
      </w:tr>
      <w:tr>
        <w:tblPrEx>
          <w:tblCellMar>
            <w:top w:w="0" w:type="dxa"/>
            <w:left w:w="108" w:type="dxa"/>
            <w:bottom w:w="0" w:type="dxa"/>
            <w:right w:w="108" w:type="dxa"/>
          </w:tblCellMar>
        </w:tblPrEx>
        <w:trPr>
          <w:trHeight w:val="733" w:hRule="atLeast"/>
        </w:trPr>
        <w:tc>
          <w:tcPr>
            <w:tcW w:w="1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二、预算执行情况</w:t>
            </w:r>
          </w:p>
        </w:tc>
        <w:tc>
          <w:tcPr>
            <w:tcW w:w="21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预算安排情况（调整后）</w:t>
            </w:r>
          </w:p>
        </w:tc>
        <w:tc>
          <w:tcPr>
            <w:tcW w:w="19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资金到位情况</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资金执行情况</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预算执行进度</w:t>
            </w:r>
          </w:p>
        </w:tc>
      </w:tr>
      <w:tr>
        <w:tblPrEx>
          <w:tblCellMar>
            <w:top w:w="0" w:type="dxa"/>
            <w:left w:w="108" w:type="dxa"/>
            <w:bottom w:w="0" w:type="dxa"/>
            <w:right w:w="108" w:type="dxa"/>
          </w:tblCellMar>
        </w:tblPrEx>
        <w:trPr>
          <w:trHeight w:val="660" w:hRule="atLeast"/>
        </w:trPr>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到位数</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执行数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780" w:hRule="atLeast"/>
        </w:trPr>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695" w:hRule="atLeast"/>
        </w:trPr>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613" w:hRule="atLeast"/>
        </w:trPr>
        <w:tc>
          <w:tcPr>
            <w:tcW w:w="1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三、目标完成情况</w:t>
            </w:r>
          </w:p>
        </w:tc>
        <w:tc>
          <w:tcPr>
            <w:tcW w:w="30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年度预期目标</w:t>
            </w:r>
          </w:p>
        </w:tc>
        <w:tc>
          <w:tcPr>
            <w:tcW w:w="32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具体完成情况</w:t>
            </w:r>
          </w:p>
        </w:tc>
        <w:tc>
          <w:tcPr>
            <w:tcW w:w="14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总体完成率</w:t>
            </w:r>
          </w:p>
        </w:tc>
      </w:tr>
      <w:tr>
        <w:tblPrEx>
          <w:tblCellMar>
            <w:top w:w="0" w:type="dxa"/>
            <w:left w:w="108" w:type="dxa"/>
            <w:bottom w:w="0" w:type="dxa"/>
            <w:right w:w="108" w:type="dxa"/>
          </w:tblCellMar>
        </w:tblPrEx>
        <w:trPr>
          <w:trHeight w:val="1375" w:hRule="atLeast"/>
        </w:trPr>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3080"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全县完成50个以上工业企业的技术改造项目。2、全年新入全省技术改造项目库项目达6家以上。3、对获得省、市资金支持的项目完成绩效考核评价工作。</w:t>
            </w:r>
          </w:p>
        </w:tc>
        <w:tc>
          <w:tcPr>
            <w:tcW w:w="32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2019年财政拨付工信局组织全县工业企业技术改造项目资金5万元，用于促进我县工业企业技术改造改造，加速产业转型升级，全年实施技改项目32个，新入全省技术改造项目库项目10家。</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673" w:hRule="atLeast"/>
        </w:trPr>
        <w:tc>
          <w:tcPr>
            <w:tcW w:w="13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四、年度绩效指标完成情况</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预期指标值</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实际完成值</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自评得分</w:t>
            </w:r>
          </w:p>
        </w:tc>
      </w:tr>
      <w:tr>
        <w:tblPrEx>
          <w:tblCellMar>
            <w:top w:w="0" w:type="dxa"/>
            <w:left w:w="108" w:type="dxa"/>
            <w:bottom w:w="0" w:type="dxa"/>
            <w:right w:w="108" w:type="dxa"/>
          </w:tblCellMar>
        </w:tblPrEx>
        <w:trPr>
          <w:trHeight w:val="550" w:hRule="atLeast"/>
        </w:trPr>
        <w:tc>
          <w:tcPr>
            <w:tcW w:w="13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产出指标（50分）</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实施技改项目实施数量（项）</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&gt;20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r>
      <w:tr>
        <w:tblPrEx>
          <w:tblCellMar>
            <w:top w:w="0" w:type="dxa"/>
            <w:left w:w="108" w:type="dxa"/>
            <w:bottom w:w="0" w:type="dxa"/>
            <w:right w:w="108" w:type="dxa"/>
          </w:tblCellMar>
        </w:tblPrEx>
        <w:trPr>
          <w:trHeight w:val="540" w:hRule="atLeast"/>
        </w:trPr>
        <w:tc>
          <w:tcPr>
            <w:tcW w:w="13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帮助申请资金支持的企业数量（家）</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&gt;3</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CellMar>
            <w:top w:w="0" w:type="dxa"/>
            <w:left w:w="108" w:type="dxa"/>
            <w:bottom w:w="0" w:type="dxa"/>
            <w:right w:w="108" w:type="dxa"/>
          </w:tblCellMar>
        </w:tblPrEx>
        <w:trPr>
          <w:trHeight w:val="630" w:hRule="atLeast"/>
        </w:trPr>
        <w:tc>
          <w:tcPr>
            <w:tcW w:w="13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技改项目完成入库与市下达任务比率（%）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&gt;90%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110%</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r>
      <w:tr>
        <w:tblPrEx>
          <w:tblCellMar>
            <w:top w:w="0" w:type="dxa"/>
            <w:left w:w="108" w:type="dxa"/>
            <w:bottom w:w="0" w:type="dxa"/>
            <w:right w:w="108" w:type="dxa"/>
          </w:tblCellMar>
        </w:tblPrEx>
        <w:trPr>
          <w:trHeight w:val="535" w:hRule="atLeast"/>
        </w:trPr>
        <w:tc>
          <w:tcPr>
            <w:tcW w:w="13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效益指标（30分）</w:t>
            </w:r>
          </w:p>
        </w:tc>
        <w:tc>
          <w:tcPr>
            <w:tcW w:w="11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经济效益指标</w:t>
            </w:r>
          </w:p>
        </w:tc>
        <w:tc>
          <w:tcPr>
            <w:tcW w:w="1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制造业增加值率提高（%）</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535" w:hRule="atLeast"/>
        </w:trPr>
        <w:tc>
          <w:tcPr>
            <w:tcW w:w="13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9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规上企业新产品销售收入占主营收入的比率（%）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&gt;30%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520" w:hRule="atLeast"/>
        </w:trPr>
        <w:tc>
          <w:tcPr>
            <w:tcW w:w="13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中小企业增加值增长率（%）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8.60%</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870" w:hRule="atLeast"/>
        </w:trPr>
        <w:tc>
          <w:tcPr>
            <w:tcW w:w="13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满意度指标（10分）</w:t>
            </w:r>
          </w:p>
        </w:tc>
        <w:tc>
          <w:tcPr>
            <w:tcW w:w="1180" w:type="dxa"/>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1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企业对入企业服务的满意度（%）</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r>
      <w:tr>
        <w:tblPrEx>
          <w:tblCellMar>
            <w:top w:w="0" w:type="dxa"/>
            <w:left w:w="108" w:type="dxa"/>
            <w:bottom w:w="0" w:type="dxa"/>
            <w:right w:w="108" w:type="dxa"/>
          </w:tblCellMar>
        </w:tblPrEx>
        <w:trPr>
          <w:trHeight w:val="850" w:hRule="atLeast"/>
        </w:trPr>
        <w:tc>
          <w:tcPr>
            <w:tcW w:w="13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预算执行率（10分）</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695" w:hRule="atLeast"/>
        </w:trPr>
        <w:tc>
          <w:tcPr>
            <w:tcW w:w="134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628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99</w:t>
            </w:r>
          </w:p>
        </w:tc>
      </w:tr>
      <w:tr>
        <w:tblPrEx>
          <w:tblCellMar>
            <w:top w:w="0" w:type="dxa"/>
            <w:left w:w="108" w:type="dxa"/>
            <w:bottom w:w="0" w:type="dxa"/>
            <w:right w:w="108" w:type="dxa"/>
          </w:tblCellMar>
        </w:tblPrEx>
        <w:trPr>
          <w:trHeight w:val="940" w:hRule="atLeast"/>
        </w:trPr>
        <w:tc>
          <w:tcPr>
            <w:tcW w:w="13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五、存在问题、原因及下一步整改措施</w:t>
            </w:r>
          </w:p>
        </w:tc>
        <w:tc>
          <w:tcPr>
            <w:tcW w:w="772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（主要填写项目绩效存在问题及原因分析，下一步拟采取的纠偏措施及对策建议，项目绩效目标指标设定存在的问题及修改完善措施）</w:t>
            </w:r>
          </w:p>
        </w:tc>
      </w:tr>
    </w:tbl>
    <w:p>
      <w:pPr>
        <w:pStyle w:val="15"/>
        <w:ind w:firstLine="640"/>
        <w:rPr>
          <w:rFonts w:hint="eastAsia" w:ascii="宋体" w:hAnsi="宋体" w:eastAsia="宋体" w:cs="宋体"/>
          <w:sz w:val="32"/>
          <w:szCs w:val="32"/>
        </w:rPr>
      </w:pPr>
    </w:p>
    <w:p>
      <w:pPr>
        <w:pStyle w:val="15"/>
        <w:numPr>
          <w:ilvl w:val="0"/>
          <w:numId w:val="3"/>
        </w:numPr>
        <w:spacing w:line="520" w:lineRule="atLeast"/>
        <w:ind w:firstLineChars="0"/>
        <w:rPr>
          <w:rFonts w:hint="eastAsia" w:ascii="宋体" w:hAnsi="宋体" w:eastAsia="宋体" w:cs="宋体"/>
          <w:bCs/>
          <w:sz w:val="32"/>
          <w:szCs w:val="32"/>
        </w:rPr>
      </w:pPr>
      <w:r>
        <w:rPr>
          <w:rFonts w:hint="eastAsia" w:ascii="宋体" w:hAnsi="宋体" w:eastAsia="宋体" w:cs="宋体"/>
          <w:sz w:val="30"/>
          <w:szCs w:val="30"/>
        </w:rPr>
        <w:t>特色产业迭代升级培训项目</w:t>
      </w:r>
      <w:r>
        <w:rPr>
          <w:rFonts w:hint="eastAsia" w:ascii="宋体" w:hAnsi="宋体" w:eastAsia="宋体" w:cs="宋体"/>
          <w:sz w:val="32"/>
          <w:szCs w:val="32"/>
        </w:rPr>
        <w:t>绩效自评综述：根据年初设定的绩效目标，</w:t>
      </w:r>
      <w:r>
        <w:rPr>
          <w:rFonts w:hint="eastAsia" w:ascii="宋体" w:hAnsi="宋体" w:eastAsia="宋体" w:cs="宋体"/>
          <w:sz w:val="30"/>
          <w:szCs w:val="30"/>
        </w:rPr>
        <w:t>特色产业迭代升级培训项目</w:t>
      </w:r>
      <w:r>
        <w:rPr>
          <w:rFonts w:hint="eastAsia" w:ascii="宋体" w:hAnsi="宋体" w:eastAsia="宋体" w:cs="宋体"/>
          <w:sz w:val="32"/>
          <w:szCs w:val="32"/>
        </w:rPr>
        <w:t>绩效自评得分为100分（绩效自评表附后）。全年预算数为10万元，执行数为9.9788万元，完成预算的99.79%。项目绩效目标完成情况：按市政府通知各县委县政府要求，按已完成我县2019年度特色产业迭代升级5次培训。下一步工作措施：</w:t>
      </w:r>
      <w:r>
        <w:rPr>
          <w:rFonts w:hint="eastAsia" w:ascii="宋体" w:hAnsi="宋体" w:eastAsia="宋体" w:cs="宋体"/>
          <w:bCs/>
          <w:sz w:val="32"/>
          <w:szCs w:val="32"/>
        </w:rPr>
        <w:t>进一步提高培训质量和培训效果，增加培训的实用性，提高参训人员的整体素质，促使特色产业的高质量发展。</w:t>
      </w:r>
    </w:p>
    <w:tbl>
      <w:tblPr>
        <w:tblStyle w:val="8"/>
        <w:tblW w:w="9200" w:type="dxa"/>
        <w:tblInd w:w="91" w:type="dxa"/>
        <w:tblLayout w:type="fixed"/>
        <w:tblCellMar>
          <w:top w:w="0" w:type="dxa"/>
          <w:left w:w="108" w:type="dxa"/>
          <w:bottom w:w="0" w:type="dxa"/>
          <w:right w:w="108" w:type="dxa"/>
        </w:tblCellMar>
      </w:tblPr>
      <w:tblGrid>
        <w:gridCol w:w="1580"/>
        <w:gridCol w:w="1100"/>
        <w:gridCol w:w="1120"/>
        <w:gridCol w:w="940"/>
        <w:gridCol w:w="880"/>
        <w:gridCol w:w="1040"/>
        <w:gridCol w:w="1200"/>
        <w:gridCol w:w="1340"/>
      </w:tblGrid>
      <w:tr>
        <w:tblPrEx>
          <w:tblCellMar>
            <w:top w:w="0" w:type="dxa"/>
            <w:left w:w="108" w:type="dxa"/>
            <w:bottom w:w="0" w:type="dxa"/>
            <w:right w:w="108" w:type="dxa"/>
          </w:tblCellMar>
        </w:tblPrEx>
        <w:trPr>
          <w:trHeight w:val="755" w:hRule="atLeast"/>
        </w:trPr>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一、基本情况</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特色产业迭代升级培训费</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实施（主管）单位</w:t>
            </w:r>
          </w:p>
        </w:tc>
        <w:tc>
          <w:tcPr>
            <w:tcW w:w="25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阜城县工业和信息化局</w:t>
            </w:r>
          </w:p>
        </w:tc>
      </w:tr>
      <w:tr>
        <w:tblPrEx>
          <w:tblCellMar>
            <w:top w:w="0" w:type="dxa"/>
            <w:left w:w="108" w:type="dxa"/>
            <w:bottom w:w="0" w:type="dxa"/>
            <w:right w:w="108" w:type="dxa"/>
          </w:tblCellMar>
        </w:tblPrEx>
        <w:trPr>
          <w:trHeight w:val="708" w:hRule="atLeast"/>
        </w:trPr>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二、预算执行情况</w:t>
            </w:r>
          </w:p>
        </w:tc>
        <w:tc>
          <w:tcPr>
            <w:tcW w:w="22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预算安排情况（调整后）</w:t>
            </w:r>
          </w:p>
        </w:tc>
        <w:tc>
          <w:tcPr>
            <w:tcW w:w="18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资金到位情况</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资金执行情况</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预算执行进度</w:t>
            </w:r>
          </w:p>
        </w:tc>
      </w:tr>
      <w:tr>
        <w:tblPrEx>
          <w:tblCellMar>
            <w:top w:w="0" w:type="dxa"/>
            <w:left w:w="108" w:type="dxa"/>
            <w:bottom w:w="0" w:type="dxa"/>
            <w:right w:w="108" w:type="dxa"/>
          </w:tblCellMar>
        </w:tblPrEx>
        <w:trPr>
          <w:trHeight w:val="613"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到位数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执行数</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9.9788</w:t>
            </w:r>
          </w:p>
        </w:tc>
        <w:tc>
          <w:tcPr>
            <w:tcW w:w="1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99.79%</w:t>
            </w:r>
          </w:p>
        </w:tc>
      </w:tr>
      <w:tr>
        <w:tblPrEx>
          <w:tblCellMar>
            <w:top w:w="0" w:type="dxa"/>
            <w:left w:w="108" w:type="dxa"/>
            <w:bottom w:w="0" w:type="dxa"/>
            <w:right w:w="108" w:type="dxa"/>
          </w:tblCellMar>
        </w:tblPrEx>
        <w:trPr>
          <w:trHeight w:val="685"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9.9788</w:t>
            </w:r>
          </w:p>
        </w:tc>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575"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660" w:hRule="atLeast"/>
        </w:trPr>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三、目标完成情况</w:t>
            </w:r>
          </w:p>
        </w:tc>
        <w:tc>
          <w:tcPr>
            <w:tcW w:w="31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年度预期目标</w:t>
            </w:r>
          </w:p>
        </w:tc>
        <w:tc>
          <w:tcPr>
            <w:tcW w:w="31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具体完成情况</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总体完成率</w:t>
            </w:r>
          </w:p>
        </w:tc>
      </w:tr>
      <w:tr>
        <w:tblPrEx>
          <w:tblCellMar>
            <w:top w:w="0" w:type="dxa"/>
            <w:left w:w="108" w:type="dxa"/>
            <w:bottom w:w="0" w:type="dxa"/>
            <w:right w:w="108" w:type="dxa"/>
          </w:tblCellMar>
        </w:tblPrEx>
        <w:trPr>
          <w:trHeight w:val="1093"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31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按市政府通知各县委县政府要求，按计划完成我县2019年度特色产业迭代升级5次培训</w:t>
            </w:r>
          </w:p>
        </w:tc>
        <w:tc>
          <w:tcPr>
            <w:tcW w:w="31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已按培训计划完成了5次培训。</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685" w:hRule="atLeast"/>
        </w:trPr>
        <w:tc>
          <w:tcPr>
            <w:tcW w:w="1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四、年度绩效指标完成情况</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预期指标值</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实际完成值</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自评得分</w:t>
            </w:r>
          </w:p>
        </w:tc>
      </w:tr>
      <w:tr>
        <w:tblPrEx>
          <w:tblCellMar>
            <w:top w:w="0" w:type="dxa"/>
            <w:left w:w="108" w:type="dxa"/>
            <w:bottom w:w="0" w:type="dxa"/>
            <w:right w:w="108" w:type="dxa"/>
          </w:tblCellMar>
        </w:tblPrEx>
        <w:trPr>
          <w:trHeight w:val="5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产出指标（50分）</w:t>
            </w:r>
          </w:p>
        </w:tc>
        <w:tc>
          <w:tcPr>
            <w:tcW w:w="1120"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工业企业转型升级培训企业数（家）</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&gt;100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实际完成培训130家次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CellMar>
            <w:top w:w="0" w:type="dxa"/>
            <w:left w:w="108" w:type="dxa"/>
            <w:bottom w:w="0" w:type="dxa"/>
            <w:right w:w="108" w:type="dxa"/>
          </w:tblCellMar>
        </w:tblPrEx>
        <w:trPr>
          <w:trHeight w:val="708"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2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特色产业迭代升级培训（次）</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完成培训5次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7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质量指标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创新领导力高级研修培训（人）</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&gt;100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创新领导力高级研修培训达120人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8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效益指标（30分）</w:t>
            </w: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特色产业增加值增长率（%）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&gt;5%</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两大特色产业增加值增长20%左右。</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CellMar>
            <w:top w:w="0" w:type="dxa"/>
            <w:left w:w="108" w:type="dxa"/>
            <w:bottom w:w="0" w:type="dxa"/>
            <w:right w:w="108" w:type="dxa"/>
          </w:tblCellMar>
        </w:tblPrEx>
        <w:trPr>
          <w:trHeight w:val="86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满意度指标（10分）</w:t>
            </w:r>
          </w:p>
        </w:tc>
        <w:tc>
          <w:tcPr>
            <w:tcW w:w="11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企业对培训效果满意度（%）</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&gt;90%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企业对培训效果非常满意</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r>
      <w:tr>
        <w:tblPrEx>
          <w:tblCellMar>
            <w:top w:w="0" w:type="dxa"/>
            <w:left w:w="108" w:type="dxa"/>
            <w:bottom w:w="0" w:type="dxa"/>
            <w:right w:w="108" w:type="dxa"/>
          </w:tblCellMar>
        </w:tblPrEx>
        <w:trPr>
          <w:trHeight w:val="86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受训学员满意度（%）</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&gt;90%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受训学员满意度达到95%以上</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r>
      <w:tr>
        <w:tblPrEx>
          <w:tblCellMar>
            <w:top w:w="0" w:type="dxa"/>
            <w:left w:w="108" w:type="dxa"/>
            <w:bottom w:w="0" w:type="dxa"/>
            <w:right w:w="108" w:type="dxa"/>
          </w:tblCellMar>
        </w:tblPrEx>
        <w:trPr>
          <w:trHeight w:val="708"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预算执行率（10分）</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99.79%</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r>
      <w:tr>
        <w:tblPrEx>
          <w:tblCellMar>
            <w:top w:w="0" w:type="dxa"/>
            <w:left w:w="108" w:type="dxa"/>
            <w:bottom w:w="0" w:type="dxa"/>
            <w:right w:w="108" w:type="dxa"/>
          </w:tblCellMar>
        </w:tblPrEx>
        <w:trPr>
          <w:trHeight w:val="72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628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13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888"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五、存在问题、原因及下一步整改措施</w:t>
            </w:r>
          </w:p>
        </w:tc>
        <w:tc>
          <w:tcPr>
            <w:tcW w:w="762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（主要填写项目绩效存在问题及原因分析，下一步拟采取的纠偏措施及对策建议，项目绩效目标指标设定存在的问题及修改完善措施）</w:t>
            </w:r>
          </w:p>
        </w:tc>
      </w:tr>
    </w:tbl>
    <w:p>
      <w:pPr>
        <w:pStyle w:val="15"/>
        <w:spacing w:line="520" w:lineRule="atLeast"/>
        <w:ind w:left="420" w:firstLine="0" w:firstLineChars="0"/>
        <w:rPr>
          <w:rFonts w:hint="eastAsia" w:ascii="宋体" w:hAnsi="宋体" w:eastAsia="宋体" w:cs="宋体"/>
          <w:bCs/>
          <w:sz w:val="32"/>
          <w:szCs w:val="32"/>
        </w:rPr>
      </w:pPr>
    </w:p>
    <w:p>
      <w:pPr>
        <w:pStyle w:val="15"/>
        <w:numPr>
          <w:ilvl w:val="0"/>
          <w:numId w:val="3"/>
        </w:numPr>
        <w:adjustRightInd w:val="0"/>
        <w:snapToGrid w:val="0"/>
        <w:spacing w:line="580" w:lineRule="exact"/>
        <w:ind w:firstLine="600"/>
        <w:rPr>
          <w:rFonts w:hint="eastAsia" w:ascii="宋体" w:hAnsi="宋体" w:eastAsia="宋体" w:cs="宋体"/>
          <w:sz w:val="32"/>
          <w:szCs w:val="32"/>
        </w:rPr>
      </w:pPr>
      <w:r>
        <w:rPr>
          <w:rFonts w:hint="eastAsia" w:ascii="宋体" w:hAnsi="宋体" w:eastAsia="宋体" w:cs="宋体"/>
          <w:sz w:val="30"/>
          <w:szCs w:val="30"/>
        </w:rPr>
        <w:t>特色产业编制规划项目</w:t>
      </w:r>
      <w:r>
        <w:rPr>
          <w:rFonts w:hint="eastAsia" w:ascii="宋体" w:hAnsi="宋体" w:eastAsia="宋体" w:cs="宋体"/>
          <w:sz w:val="32"/>
          <w:szCs w:val="32"/>
        </w:rPr>
        <w:t>绩效自评综述：根据年初设定的绩效目标，</w:t>
      </w:r>
      <w:r>
        <w:rPr>
          <w:rFonts w:hint="eastAsia" w:ascii="宋体" w:hAnsi="宋体" w:eastAsia="宋体" w:cs="宋体"/>
          <w:sz w:val="30"/>
          <w:szCs w:val="30"/>
        </w:rPr>
        <w:t>特色产业编制规划项目</w:t>
      </w:r>
      <w:r>
        <w:rPr>
          <w:rFonts w:hint="eastAsia" w:ascii="宋体" w:hAnsi="宋体" w:eastAsia="宋体" w:cs="宋体"/>
          <w:sz w:val="32"/>
          <w:szCs w:val="32"/>
        </w:rPr>
        <w:t>绩效自评得分为99分（绩效自评表附后）。全年预算数为19.2万元，执行数为19.2万元，完成预算的100%。项目绩效目标完成情况：已按市政府要求完成了装备制造产业和纺织服装产业规划编制工作，并通过了市政府审定和上报省工信厅，并按此规划正在积极推进我县特色产业发展。下一步工作措施：按照编制了发展规划，积极推进各项工作，按照规划中的各阶段的工作任务目标，抓好落实。</w:t>
      </w:r>
    </w:p>
    <w:tbl>
      <w:tblPr>
        <w:tblStyle w:val="8"/>
        <w:tblW w:w="9420" w:type="dxa"/>
        <w:tblInd w:w="91" w:type="dxa"/>
        <w:tblLayout w:type="fixed"/>
        <w:tblCellMar>
          <w:top w:w="0" w:type="dxa"/>
          <w:left w:w="108" w:type="dxa"/>
          <w:bottom w:w="0" w:type="dxa"/>
          <w:right w:w="108" w:type="dxa"/>
        </w:tblCellMar>
      </w:tblPr>
      <w:tblGrid>
        <w:gridCol w:w="1580"/>
        <w:gridCol w:w="1100"/>
        <w:gridCol w:w="1120"/>
        <w:gridCol w:w="940"/>
        <w:gridCol w:w="880"/>
        <w:gridCol w:w="1260"/>
        <w:gridCol w:w="1200"/>
        <w:gridCol w:w="1340"/>
      </w:tblGrid>
      <w:tr>
        <w:tblPrEx>
          <w:tblCellMar>
            <w:top w:w="0" w:type="dxa"/>
            <w:left w:w="108" w:type="dxa"/>
            <w:bottom w:w="0" w:type="dxa"/>
            <w:right w:w="108" w:type="dxa"/>
          </w:tblCellMar>
        </w:tblPrEx>
        <w:trPr>
          <w:trHeight w:val="805" w:hRule="atLeast"/>
        </w:trPr>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一、基本情况</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29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特色产业规划编制经费</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实施（主管）单位</w:t>
            </w:r>
          </w:p>
        </w:tc>
        <w:tc>
          <w:tcPr>
            <w:tcW w:w="25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阜城县工业和信息化局</w:t>
            </w:r>
          </w:p>
        </w:tc>
      </w:tr>
      <w:tr>
        <w:tblPrEx>
          <w:tblCellMar>
            <w:top w:w="0" w:type="dxa"/>
            <w:left w:w="108" w:type="dxa"/>
            <w:bottom w:w="0" w:type="dxa"/>
            <w:right w:w="108" w:type="dxa"/>
          </w:tblCellMar>
        </w:tblPrEx>
        <w:trPr>
          <w:trHeight w:val="685" w:hRule="atLeast"/>
        </w:trPr>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二、预算执行情况</w:t>
            </w:r>
          </w:p>
        </w:tc>
        <w:tc>
          <w:tcPr>
            <w:tcW w:w="22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预算安排情况（调整后）</w:t>
            </w:r>
          </w:p>
        </w:tc>
        <w:tc>
          <w:tcPr>
            <w:tcW w:w="18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资金到位情况</w:t>
            </w:r>
          </w:p>
        </w:tc>
        <w:tc>
          <w:tcPr>
            <w:tcW w:w="24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资金执行情况</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预算执行进度</w:t>
            </w:r>
          </w:p>
        </w:tc>
      </w:tr>
      <w:tr>
        <w:tblPrEx>
          <w:tblCellMar>
            <w:top w:w="0" w:type="dxa"/>
            <w:left w:w="108" w:type="dxa"/>
            <w:bottom w:w="0" w:type="dxa"/>
            <w:right w:w="108" w:type="dxa"/>
          </w:tblCellMar>
        </w:tblPrEx>
        <w:trPr>
          <w:trHeight w:val="648"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到位数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执行数</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13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768"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505"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6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455" w:hRule="atLeast"/>
        </w:trPr>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三、目标完成情况</w:t>
            </w:r>
          </w:p>
        </w:tc>
        <w:tc>
          <w:tcPr>
            <w:tcW w:w="31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年度预期目标</w:t>
            </w:r>
          </w:p>
        </w:tc>
        <w:tc>
          <w:tcPr>
            <w:tcW w:w="33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具体完成情况</w:t>
            </w:r>
          </w:p>
        </w:tc>
        <w:tc>
          <w:tcPr>
            <w:tcW w:w="13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总体完成率</w:t>
            </w:r>
          </w:p>
        </w:tc>
      </w:tr>
      <w:tr>
        <w:tblPrEx>
          <w:tblCellMar>
            <w:top w:w="0" w:type="dxa"/>
            <w:left w:w="108" w:type="dxa"/>
            <w:bottom w:w="0" w:type="dxa"/>
            <w:right w:w="108" w:type="dxa"/>
          </w:tblCellMar>
        </w:tblPrEx>
        <w:trPr>
          <w:trHeight w:val="1535" w:hRule="atLeast"/>
        </w:trPr>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31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编制的规划符合我县两个特色产业实际和产业振兴计划的目标要求，数据准确，内容详实，条理清晰，切合实际，具有可操作性。编制在规定时间内完成，并顺利通过专家评审，报市政府后顺利通过。</w:t>
            </w:r>
          </w:p>
        </w:tc>
        <w:tc>
          <w:tcPr>
            <w:tcW w:w="33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已按市政府要求完成了装备制造产业和纺织服装产业规划编制工作，并通过了市政府审定和上报省工信厅，并按此规划正在积极推进我县特色产业发展</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768" w:hRule="atLeast"/>
        </w:trPr>
        <w:tc>
          <w:tcPr>
            <w:tcW w:w="15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四、年度绩效指标完成情况</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预期指标值</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实际完成值</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自评得分</w:t>
            </w:r>
          </w:p>
        </w:tc>
      </w:tr>
      <w:tr>
        <w:tblPrEx>
          <w:tblCellMar>
            <w:top w:w="0" w:type="dxa"/>
            <w:left w:w="108" w:type="dxa"/>
            <w:bottom w:w="0" w:type="dxa"/>
            <w:right w:w="108" w:type="dxa"/>
          </w:tblCellMar>
        </w:tblPrEx>
        <w:trPr>
          <w:trHeight w:val="7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产出指标（50分）</w:t>
            </w:r>
          </w:p>
        </w:tc>
        <w:tc>
          <w:tcPr>
            <w:tcW w:w="1120" w:type="dxa"/>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通过专家评审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专家评审一次性通过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按时完成了编制，并通过专家评审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w:t>
            </w:r>
          </w:p>
        </w:tc>
      </w:tr>
      <w:tr>
        <w:tblPrEx>
          <w:tblCellMar>
            <w:top w:w="0" w:type="dxa"/>
            <w:left w:w="108" w:type="dxa"/>
            <w:bottom w:w="0" w:type="dxa"/>
            <w:right w:w="108" w:type="dxa"/>
          </w:tblCellMar>
        </w:tblPrEx>
        <w:trPr>
          <w:trHeight w:val="9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质量指标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数据准确、内容详实、条理清晰、具有很强的可操作性</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数据准确、内容详实、条理清晰、具有很强的可操作性</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规划数据准确、内容详实，具有很强的可操作性</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r>
      <w:tr>
        <w:tblPrEx>
          <w:tblCellMar>
            <w:top w:w="0" w:type="dxa"/>
            <w:left w:w="108" w:type="dxa"/>
            <w:bottom w:w="0" w:type="dxa"/>
            <w:right w:w="108" w:type="dxa"/>
          </w:tblCellMar>
        </w:tblPrEx>
        <w:trPr>
          <w:trHeight w:val="79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continue"/>
            <w:tcBorders>
              <w:top w:val="nil"/>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时效指标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如期按约定时间完成</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按期限完成100%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按期完成了编制任务</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708"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效益指标（30分）</w:t>
            </w: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可指导实际工作，便于操作，可完成既定目标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可指导工作，便于操作</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便于操作，可用性强。</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7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vMerge w:val="continue"/>
            <w:tcBorders>
              <w:top w:val="single" w:color="auto" w:sz="4" w:space="0"/>
              <w:left w:val="single" w:color="auto" w:sz="4" w:space="0"/>
              <w:bottom w:val="nil"/>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社会效益指标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顺利通过市政府验收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一次性通过</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一次性通过</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68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满意度指标（10分）</w:t>
            </w:r>
          </w:p>
        </w:tc>
        <w:tc>
          <w:tcPr>
            <w:tcW w:w="1120" w:type="dxa"/>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各实施主体满意度较高，对规划认可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都较认可</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省厅、市县政府认可</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7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预算执行率（10分）</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r>
      <w:tr>
        <w:tblPrEx>
          <w:tblCellMar>
            <w:top w:w="0" w:type="dxa"/>
            <w:left w:w="108" w:type="dxa"/>
            <w:bottom w:w="0" w:type="dxa"/>
            <w:right w:w="108" w:type="dxa"/>
          </w:tblCellMar>
        </w:tblPrEx>
        <w:trPr>
          <w:trHeight w:val="5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18"/>
                <w:szCs w:val="18"/>
              </w:rPr>
            </w:pPr>
          </w:p>
        </w:tc>
        <w:tc>
          <w:tcPr>
            <w:tcW w:w="65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99</w:t>
            </w:r>
          </w:p>
        </w:tc>
      </w:tr>
      <w:tr>
        <w:tblPrEx>
          <w:tblCellMar>
            <w:top w:w="0" w:type="dxa"/>
            <w:left w:w="108" w:type="dxa"/>
            <w:bottom w:w="0" w:type="dxa"/>
            <w:right w:w="108" w:type="dxa"/>
          </w:tblCellMar>
        </w:tblPrEx>
        <w:trPr>
          <w:trHeight w:val="645" w:hRule="atLeast"/>
        </w:trPr>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五、存在问题、原因及下一步整改措施</w:t>
            </w:r>
          </w:p>
        </w:tc>
        <w:tc>
          <w:tcPr>
            <w:tcW w:w="784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（主要填写项目绩效存在问题及原因分析，下一步拟采取的纠偏措施及对策建议，项目绩效目标指标设定存在的问题及修改完善措施）</w:t>
            </w:r>
          </w:p>
        </w:tc>
      </w:tr>
    </w:tbl>
    <w:p>
      <w:pPr>
        <w:keepNext/>
        <w:keepLines/>
        <w:snapToGrid w:val="0"/>
        <w:spacing w:line="580" w:lineRule="exact"/>
        <w:ind w:left="643"/>
        <w:outlineLvl w:val="1"/>
        <w:rPr>
          <w:rFonts w:hint="eastAsia" w:ascii="宋体" w:hAnsi="宋体" w:eastAsia="宋体" w:cs="宋体"/>
          <w:b/>
          <w:bCs/>
          <w:sz w:val="32"/>
          <w:szCs w:val="32"/>
        </w:rPr>
      </w:pPr>
    </w:p>
    <w:p>
      <w:pPr>
        <w:keepNext/>
        <w:keepLines/>
        <w:snapToGrid w:val="0"/>
        <w:spacing w:line="580" w:lineRule="exact"/>
        <w:ind w:firstLine="643" w:firstLineChars="200"/>
        <w:outlineLvl w:val="1"/>
        <w:rPr>
          <w:rFonts w:hint="eastAsia" w:ascii="宋体" w:hAnsi="宋体" w:eastAsia="宋体" w:cs="宋体"/>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财政评价项目绩效评价结果</w:t>
      </w:r>
    </w:p>
    <w:p>
      <w:pPr>
        <w:adjustRightInd w:val="0"/>
        <w:snapToGrid w:val="0"/>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eastAsia="zh-CN"/>
        </w:rPr>
        <w:t>无</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七、其他重要事项的说明</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（一）机关运行经费情况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本部门2019年度机关运行经费支出</w:t>
      </w:r>
      <w:r>
        <w:rPr>
          <w:rFonts w:hint="eastAsia" w:ascii="宋体" w:hAnsi="宋体" w:eastAsia="宋体" w:cs="宋体"/>
          <w:sz w:val="32"/>
          <w:szCs w:val="32"/>
          <w:lang w:val="en-US" w:eastAsia="zh-CN"/>
        </w:rPr>
        <w:t>65.35</w:t>
      </w:r>
      <w:r>
        <w:rPr>
          <w:rFonts w:hint="eastAsia" w:ascii="宋体" w:hAnsi="宋体" w:eastAsia="宋体" w:cs="宋体"/>
          <w:sz w:val="32"/>
          <w:szCs w:val="32"/>
        </w:rPr>
        <w:t>万元，</w:t>
      </w:r>
      <w:r>
        <w:rPr>
          <w:rFonts w:hint="eastAsia" w:ascii="宋体" w:hAnsi="宋体" w:eastAsia="宋体" w:cs="宋体"/>
          <w:sz w:val="32"/>
          <w:szCs w:val="32"/>
          <w:lang w:eastAsia="zh-CN"/>
        </w:rPr>
        <w:t>与年初预算持平，</w:t>
      </w:r>
      <w:r>
        <w:rPr>
          <w:rFonts w:hint="eastAsia" w:ascii="宋体" w:hAnsi="宋体" w:eastAsia="宋体" w:cs="宋体"/>
          <w:sz w:val="32"/>
          <w:szCs w:val="32"/>
        </w:rPr>
        <w:t>比2018年度增加</w:t>
      </w:r>
      <w:r>
        <w:rPr>
          <w:rFonts w:hint="eastAsia" w:ascii="宋体" w:hAnsi="宋体" w:eastAsia="宋体" w:cs="宋体"/>
          <w:sz w:val="32"/>
          <w:szCs w:val="32"/>
          <w:lang w:val="en-US" w:eastAsia="zh-CN"/>
        </w:rPr>
        <w:t>55.01</w:t>
      </w:r>
      <w:r>
        <w:rPr>
          <w:rFonts w:hint="eastAsia" w:ascii="宋体" w:hAnsi="宋体" w:eastAsia="宋体" w:cs="宋体"/>
          <w:sz w:val="32"/>
          <w:szCs w:val="32"/>
        </w:rPr>
        <w:t>万元，增长</w:t>
      </w:r>
      <w:r>
        <w:rPr>
          <w:rFonts w:hint="eastAsia" w:ascii="宋体" w:hAnsi="宋体" w:eastAsia="宋体" w:cs="宋体"/>
          <w:sz w:val="32"/>
          <w:szCs w:val="32"/>
          <w:lang w:val="en-US" w:eastAsia="zh-CN"/>
        </w:rPr>
        <w:t>532.01</w:t>
      </w:r>
      <w:r>
        <w:rPr>
          <w:rFonts w:hint="eastAsia" w:ascii="宋体" w:hAnsi="宋体" w:eastAsia="宋体" w:cs="宋体"/>
          <w:sz w:val="32"/>
          <w:szCs w:val="32"/>
        </w:rPr>
        <w:t>%。主要原因是2019年承接业务量比往年增加，造成费用增加。</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（二）政府采购情况</w:t>
      </w:r>
    </w:p>
    <w:p>
      <w:pPr>
        <w:snapToGrid w:val="0"/>
        <w:spacing w:line="580" w:lineRule="exact"/>
        <w:ind w:firstLine="640" w:firstLineChars="200"/>
        <w:jc w:val="left"/>
        <w:rPr>
          <w:rFonts w:hint="eastAsia" w:ascii="宋体" w:hAnsi="宋体" w:eastAsia="宋体" w:cs="宋体"/>
          <w:sz w:val="32"/>
          <w:szCs w:val="32"/>
          <w:lang w:eastAsia="zh-CN"/>
        </w:rPr>
      </w:pPr>
      <w:r>
        <w:rPr>
          <w:rFonts w:hint="eastAsia" w:ascii="宋体" w:hAnsi="宋体" w:eastAsia="宋体" w:cs="宋体"/>
          <w:sz w:val="32"/>
          <w:szCs w:val="32"/>
        </w:rPr>
        <w:t>本部门2019年度政府采购支出总额0万元，从采购类型来看，</w:t>
      </w:r>
      <w:r>
        <w:rPr>
          <w:rFonts w:hint="eastAsia" w:ascii="宋体" w:hAnsi="宋体" w:eastAsia="宋体" w:cs="宋体"/>
          <w:color w:val="000000"/>
          <w:kern w:val="0"/>
          <w:sz w:val="32"/>
          <w:szCs w:val="32"/>
        </w:rPr>
        <w:t>政府采购货物支出0 万元、政府采购工程支出0万元、政府采购服务支出0万元。授予中小企业合同金0万元，占政府采购支出总额的0%，其中授予小微企业合同金额0万元，占政府采购支出总额的 0%。</w:t>
      </w:r>
      <w:r>
        <w:rPr>
          <w:rFonts w:hint="eastAsia" w:ascii="宋体" w:hAnsi="宋体" w:eastAsia="宋体" w:cs="宋体"/>
          <w:color w:val="000000"/>
          <w:kern w:val="0"/>
          <w:sz w:val="32"/>
          <w:szCs w:val="32"/>
          <w:lang w:eastAsia="zh-CN"/>
        </w:rPr>
        <w:t>与上年决算持平。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（三）国有资产占用情况</w:t>
      </w:r>
    </w:p>
    <w:p>
      <w:pPr>
        <w:adjustRightInd w:val="0"/>
        <w:snapToGrid w:val="0"/>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截至201</w:t>
      </w:r>
      <w:r>
        <w:rPr>
          <w:rFonts w:hint="eastAsia" w:ascii="宋体" w:hAnsi="宋体" w:eastAsia="宋体" w:cs="宋体"/>
          <w:sz w:val="32"/>
          <w:szCs w:val="32"/>
          <w:lang w:val="en-US" w:eastAsia="zh-CN"/>
        </w:rPr>
        <w:t>9</w:t>
      </w:r>
      <w:r>
        <w:rPr>
          <w:rFonts w:hint="eastAsia" w:ascii="宋体" w:hAnsi="宋体" w:eastAsia="宋体" w:cs="宋体"/>
          <w:sz w:val="32"/>
          <w:szCs w:val="32"/>
        </w:rPr>
        <w:t>年12月31日，本部门共有车辆</w:t>
      </w:r>
      <w:r>
        <w:rPr>
          <w:rFonts w:hint="eastAsia" w:ascii="宋体" w:hAnsi="宋体" w:eastAsia="宋体" w:cs="宋体"/>
          <w:sz w:val="32"/>
          <w:szCs w:val="32"/>
          <w:lang w:val="en-US" w:eastAsia="zh-CN"/>
        </w:rPr>
        <w:t>1</w:t>
      </w:r>
      <w:r>
        <w:rPr>
          <w:rFonts w:hint="eastAsia" w:ascii="宋体" w:hAnsi="宋体" w:eastAsia="宋体" w:cs="宋体"/>
          <w:sz w:val="32"/>
          <w:szCs w:val="32"/>
        </w:rPr>
        <w:t>辆，比上年增加</w:t>
      </w:r>
      <w:r>
        <w:rPr>
          <w:rFonts w:hint="eastAsia" w:ascii="宋体" w:hAnsi="宋体" w:eastAsia="宋体" w:cs="宋体"/>
          <w:sz w:val="32"/>
          <w:szCs w:val="32"/>
          <w:lang w:val="en-US" w:eastAsia="zh-CN"/>
        </w:rPr>
        <w:t>0</w:t>
      </w:r>
      <w:r>
        <w:rPr>
          <w:rFonts w:hint="eastAsia" w:ascii="宋体" w:hAnsi="宋体" w:eastAsia="宋体" w:cs="宋体"/>
          <w:sz w:val="32"/>
          <w:szCs w:val="32"/>
        </w:rPr>
        <w:t>辆。其中，副部（省）级及以上领导用车</w:t>
      </w:r>
      <w:r>
        <w:rPr>
          <w:rFonts w:hint="eastAsia" w:ascii="宋体" w:hAnsi="宋体" w:eastAsia="宋体" w:cs="宋体"/>
          <w:sz w:val="32"/>
          <w:szCs w:val="32"/>
          <w:lang w:val="en-US" w:eastAsia="zh-CN"/>
        </w:rPr>
        <w:t>0</w:t>
      </w:r>
      <w:r>
        <w:rPr>
          <w:rFonts w:hint="eastAsia" w:ascii="宋体" w:hAnsi="宋体" w:eastAsia="宋体" w:cs="宋体"/>
          <w:sz w:val="32"/>
          <w:szCs w:val="32"/>
        </w:rPr>
        <w:t>辆，主要领导干部用车</w:t>
      </w:r>
      <w:r>
        <w:rPr>
          <w:rFonts w:hint="eastAsia" w:ascii="宋体" w:hAnsi="宋体" w:eastAsia="宋体" w:cs="宋体"/>
          <w:sz w:val="32"/>
          <w:szCs w:val="32"/>
          <w:lang w:val="en-US" w:eastAsia="zh-CN"/>
        </w:rPr>
        <w:t>0</w:t>
      </w:r>
      <w:r>
        <w:rPr>
          <w:rFonts w:hint="eastAsia" w:ascii="宋体" w:hAnsi="宋体" w:eastAsia="宋体" w:cs="宋体"/>
          <w:sz w:val="32"/>
          <w:szCs w:val="32"/>
        </w:rPr>
        <w:t>辆，机要通信用车</w:t>
      </w:r>
      <w:r>
        <w:rPr>
          <w:rFonts w:hint="eastAsia" w:ascii="宋体" w:hAnsi="宋体" w:eastAsia="宋体" w:cs="宋体"/>
          <w:sz w:val="32"/>
          <w:szCs w:val="32"/>
          <w:lang w:val="en-US" w:eastAsia="zh-CN"/>
        </w:rPr>
        <w:t>0</w:t>
      </w:r>
      <w:r>
        <w:rPr>
          <w:rFonts w:hint="eastAsia" w:ascii="宋体" w:hAnsi="宋体" w:eastAsia="宋体" w:cs="宋体"/>
          <w:sz w:val="32"/>
          <w:szCs w:val="32"/>
        </w:rPr>
        <w:t>辆，应急保障用车</w:t>
      </w:r>
      <w:r>
        <w:rPr>
          <w:rFonts w:hint="eastAsia" w:ascii="宋体" w:hAnsi="宋体" w:eastAsia="宋体" w:cs="宋体"/>
          <w:sz w:val="32"/>
          <w:szCs w:val="32"/>
          <w:lang w:val="en-US" w:eastAsia="zh-CN"/>
        </w:rPr>
        <w:t>0</w:t>
      </w:r>
      <w:r>
        <w:rPr>
          <w:rFonts w:hint="eastAsia" w:ascii="宋体" w:hAnsi="宋体" w:eastAsia="宋体" w:cs="宋体"/>
          <w:sz w:val="32"/>
          <w:szCs w:val="32"/>
        </w:rPr>
        <w:t>辆，执法执勤用车</w:t>
      </w:r>
      <w:r>
        <w:rPr>
          <w:rFonts w:hint="eastAsia" w:ascii="宋体" w:hAnsi="宋体" w:eastAsia="宋体" w:cs="宋体"/>
          <w:sz w:val="32"/>
          <w:szCs w:val="32"/>
          <w:lang w:val="en-US" w:eastAsia="zh-CN"/>
        </w:rPr>
        <w:t>0</w:t>
      </w:r>
      <w:r>
        <w:rPr>
          <w:rFonts w:hint="eastAsia" w:ascii="宋体" w:hAnsi="宋体" w:eastAsia="宋体" w:cs="宋体"/>
          <w:sz w:val="32"/>
          <w:szCs w:val="32"/>
        </w:rPr>
        <w:t>辆，特种专业技术用车</w:t>
      </w:r>
      <w:r>
        <w:rPr>
          <w:rFonts w:hint="eastAsia" w:ascii="宋体" w:hAnsi="宋体" w:eastAsia="宋体" w:cs="宋体"/>
          <w:sz w:val="32"/>
          <w:szCs w:val="32"/>
          <w:lang w:val="en-US" w:eastAsia="zh-CN"/>
        </w:rPr>
        <w:t>0</w:t>
      </w:r>
      <w:r>
        <w:rPr>
          <w:rFonts w:hint="eastAsia" w:ascii="宋体" w:hAnsi="宋体" w:eastAsia="宋体" w:cs="宋体"/>
          <w:sz w:val="32"/>
          <w:szCs w:val="32"/>
        </w:rPr>
        <w:t>辆，离退休干部用车</w:t>
      </w:r>
      <w:r>
        <w:rPr>
          <w:rFonts w:hint="eastAsia" w:ascii="宋体" w:hAnsi="宋体" w:eastAsia="宋体" w:cs="宋体"/>
          <w:sz w:val="32"/>
          <w:szCs w:val="32"/>
          <w:lang w:val="en-US" w:eastAsia="zh-CN"/>
        </w:rPr>
        <w:t>0</w:t>
      </w:r>
      <w:r>
        <w:rPr>
          <w:rFonts w:hint="eastAsia" w:ascii="宋体" w:hAnsi="宋体" w:eastAsia="宋体" w:cs="宋体"/>
          <w:sz w:val="32"/>
          <w:szCs w:val="32"/>
        </w:rPr>
        <w:t>辆，其他用车</w:t>
      </w:r>
      <w:r>
        <w:rPr>
          <w:rFonts w:hint="eastAsia" w:ascii="宋体" w:hAnsi="宋体" w:eastAsia="宋体" w:cs="宋体"/>
          <w:sz w:val="32"/>
          <w:szCs w:val="32"/>
          <w:lang w:val="en-US" w:eastAsia="zh-CN"/>
        </w:rPr>
        <w:t>1</w:t>
      </w:r>
      <w:r>
        <w:rPr>
          <w:rFonts w:hint="eastAsia" w:ascii="宋体" w:hAnsi="宋体" w:eastAsia="宋体" w:cs="宋体"/>
          <w:sz w:val="32"/>
          <w:szCs w:val="32"/>
        </w:rPr>
        <w:t>辆</w:t>
      </w:r>
      <w:r>
        <w:rPr>
          <w:rFonts w:hint="eastAsia" w:ascii="宋体" w:hAnsi="宋体" w:eastAsia="宋体" w:cs="宋体"/>
          <w:sz w:val="32"/>
          <w:szCs w:val="32"/>
          <w:lang w:eastAsia="zh-CN"/>
        </w:rPr>
        <w:t>，主要为一般公务用车。与上年决算相比持平。</w:t>
      </w:r>
    </w:p>
    <w:p>
      <w:pPr>
        <w:adjustRightInd w:val="0"/>
        <w:snapToGrid w:val="0"/>
        <w:spacing w:line="580" w:lineRule="exact"/>
        <w:ind w:firstLine="640" w:firstLineChars="200"/>
        <w:rPr>
          <w:rFonts w:hint="eastAsia" w:ascii="宋体" w:hAnsi="宋体" w:eastAsia="宋体" w:cs="宋体"/>
          <w:b/>
          <w:bCs/>
          <w:sz w:val="32"/>
          <w:szCs w:val="32"/>
        </w:rPr>
      </w:pPr>
      <w:r>
        <w:rPr>
          <w:rFonts w:hint="eastAsia" w:ascii="宋体" w:hAnsi="宋体" w:eastAsia="宋体" w:cs="宋体"/>
          <w:sz w:val="32"/>
          <w:szCs w:val="32"/>
        </w:rPr>
        <w:t>单位价值50万元以上通用设备0台（套），与上年持平，单位价值100万元以上专用设备0台（套）,与上年持平。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（四）其他需要说明的情况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 本部门2019年度政府性基金预算财政拨款、国有资本经营预算财政拨款无收支及结转结余情况，故政府性基金预算财政拨款收入支出决算表、国有资本经营预算财政拨款支出决算表以空表列示。</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hint="eastAsia" w:ascii="宋体" w:hAnsi="宋体" w:eastAsia="宋体" w:cs="宋体"/>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hint="eastAsia" w:ascii="宋体" w:hAnsi="宋体" w:eastAsia="宋体" w:cs="宋体"/>
          <w:sz w:val="56"/>
          <w:szCs w:val="72"/>
        </w:rPr>
        <w:sectPr>
          <w:headerReference r:id="rId25" w:type="first"/>
          <w:footerReference r:id="rId27" w:type="first"/>
          <w:headerReference r:id="rId24" w:type="default"/>
          <w:footerReference r:id="rId26" w:type="default"/>
          <w:type w:val="continuous"/>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72"/>
        </w:rPr>
      </w:pPr>
      <w:r>
        <w:rPr>
          <w:rFonts w:hint="eastAsia" w:ascii="宋体" w:hAnsi="宋体" w:eastAsia="宋体" w:cs="宋体"/>
          <w:sz w:val="72"/>
        </w:rPr>
        <w:pict>
          <v:shape id="_x0000_s1029" o:spid="_x0000_s1029" o:spt="202" type="#_x0000_t202" style="position:absolute;left:0pt;margin-left:-80.45pt;margin-top:34.8pt;height:263.1pt;width:613.65pt;z-index:2516643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1" focussize="0,0" r:id="rId34"/>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886"/>
        </w:tabs>
        <w:jc w:val="left"/>
        <w:rPr>
          <w:rFonts w:hint="eastAsia" w:ascii="宋体" w:hAnsi="宋体" w:eastAsia="宋体" w:cs="宋体"/>
        </w:rPr>
        <w:sectPr>
          <w:headerReference r:id="rId28" w:type="first"/>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32"/>
          <w:szCs w:val="32"/>
          <w:highlight w:val="yellow"/>
        </w:rPr>
      </w:pPr>
      <w:r>
        <w:rPr>
          <w:rFonts w:hint="eastAsia" w:ascii="宋体" w:hAnsi="宋体" w:eastAsia="宋体" w:cs="宋体"/>
          <w:sz w:val="32"/>
          <w:szCs w:val="32"/>
          <w:highlight w:val="yellow"/>
        </w:rPr>
        <w:br w:type="page"/>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（一）财政拨款收入：</w:t>
      </w:r>
      <w:r>
        <w:rPr>
          <w:rFonts w:hint="eastAsia" w:ascii="宋体" w:hAnsi="宋体" w:eastAsia="宋体" w:cs="宋体"/>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（二）事业收入：</w:t>
      </w:r>
      <w:r>
        <w:rPr>
          <w:rFonts w:hint="eastAsia" w:ascii="宋体" w:hAnsi="宋体" w:eastAsia="宋体" w:cs="宋体"/>
          <w:color w:val="000000"/>
          <w:kern w:val="0"/>
          <w:sz w:val="32"/>
          <w:szCs w:val="32"/>
        </w:rPr>
        <w:t>指事业单位开展专业业务活动及辅助活动所取得的收入。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（三）其他收入：</w:t>
      </w:r>
      <w:r>
        <w:rPr>
          <w:rFonts w:hint="eastAsia" w:ascii="宋体" w:hAnsi="宋体" w:eastAsia="宋体" w:cs="宋体"/>
          <w:color w:val="000000"/>
          <w:kern w:val="0"/>
          <w:sz w:val="32"/>
          <w:szCs w:val="32"/>
        </w:rPr>
        <w:t>指除上述“财政拨款收入”“事业收入”“经营收入”等以外的收入。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（四）用事业基金弥补收支差额：</w:t>
      </w:r>
      <w:r>
        <w:rPr>
          <w:rFonts w:hint="eastAsia" w:ascii="宋体" w:hAnsi="宋体" w:eastAsia="宋体" w:cs="宋体"/>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（五）年初结转和结余：</w:t>
      </w:r>
      <w:r>
        <w:rPr>
          <w:rFonts w:hint="eastAsia" w:ascii="宋体" w:hAnsi="宋体" w:eastAsia="宋体" w:cs="宋体"/>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（六）结余分配：</w:t>
      </w:r>
      <w:r>
        <w:rPr>
          <w:rFonts w:hint="eastAsia" w:ascii="宋体" w:hAnsi="宋体" w:eastAsia="宋体" w:cs="宋体"/>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（七）年末结转和结余：</w:t>
      </w:r>
      <w:r>
        <w:rPr>
          <w:rFonts w:hint="eastAsia" w:ascii="宋体" w:hAnsi="宋体" w:eastAsia="宋体" w:cs="宋体"/>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（八）基本支出：</w:t>
      </w:r>
      <w:r>
        <w:rPr>
          <w:rFonts w:hint="eastAsia" w:ascii="宋体" w:hAnsi="宋体" w:eastAsia="宋体" w:cs="宋体"/>
          <w:color w:val="000000"/>
          <w:kern w:val="0"/>
          <w:sz w:val="32"/>
          <w:szCs w:val="32"/>
        </w:rPr>
        <w:t>填列单位为保障机构正常运转、完成日常工作任务而发生的各项支出。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（九）项目支出：</w:t>
      </w:r>
      <w:r>
        <w:rPr>
          <w:rFonts w:hint="eastAsia" w:ascii="宋体" w:hAnsi="宋体" w:eastAsia="宋体" w:cs="宋体"/>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（十）基本建设支出：</w:t>
      </w:r>
      <w:r>
        <w:rPr>
          <w:rFonts w:hint="eastAsia" w:ascii="宋体" w:hAnsi="宋体" w:eastAsia="宋体" w:cs="宋体"/>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（十一）其他资本性支出：</w:t>
      </w:r>
      <w:r>
        <w:rPr>
          <w:rFonts w:hint="eastAsia" w:ascii="宋体" w:hAnsi="宋体" w:eastAsia="宋体" w:cs="宋体"/>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（十二）“三公”经费：</w:t>
      </w:r>
      <w:r>
        <w:rPr>
          <w:rFonts w:hint="eastAsia" w:ascii="宋体" w:hAnsi="宋体" w:eastAsia="宋体" w:cs="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（十三）其他交通费用：</w:t>
      </w:r>
      <w:r>
        <w:rPr>
          <w:rFonts w:hint="eastAsia" w:ascii="宋体" w:hAnsi="宋体" w:eastAsia="宋体" w:cs="宋体"/>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（十四）公务用车购置：</w:t>
      </w:r>
      <w:r>
        <w:rPr>
          <w:rFonts w:hint="eastAsia" w:ascii="宋体" w:hAnsi="宋体" w:eastAsia="宋体" w:cs="宋体"/>
          <w:color w:val="000000"/>
          <w:kern w:val="0"/>
          <w:sz w:val="32"/>
          <w:szCs w:val="32"/>
        </w:rPr>
        <w:t>填列单位公务用车车辆购置支出（含车辆购置税、牌照费）。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（十五）其他交通工具购置：</w:t>
      </w:r>
      <w:r>
        <w:rPr>
          <w:rFonts w:hint="eastAsia" w:ascii="宋体" w:hAnsi="宋体" w:eastAsia="宋体" w:cs="宋体"/>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（十六）机关运行经费：</w:t>
      </w:r>
      <w:r>
        <w:rPr>
          <w:rFonts w:hint="eastAsia" w:ascii="宋体" w:hAnsi="宋体" w:eastAsia="宋体" w:cs="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hint="eastAsia" w:ascii="宋体" w:hAnsi="宋体" w:eastAsia="宋体" w:cs="宋体"/>
          <w:kern w:val="0"/>
          <w:sz w:val="32"/>
          <w:szCs w:val="32"/>
        </w:rPr>
      </w:pPr>
      <w:r>
        <w:rPr>
          <w:rFonts w:hint="eastAsia" w:ascii="宋体" w:hAnsi="宋体" w:eastAsia="宋体" w:cs="宋体"/>
          <w:b/>
          <w:bCs/>
          <w:color w:val="000000"/>
          <w:kern w:val="0"/>
          <w:sz w:val="32"/>
          <w:szCs w:val="32"/>
        </w:rPr>
        <w:t>（十七）经费形式:</w:t>
      </w:r>
      <w:r>
        <w:rPr>
          <w:rFonts w:hint="eastAsia" w:ascii="宋体" w:hAnsi="宋体" w:eastAsia="宋体" w:cs="宋体"/>
          <w:color w:val="000000"/>
          <w:kern w:val="0"/>
          <w:sz w:val="32"/>
          <w:szCs w:val="32"/>
        </w:rPr>
        <w:t>按照经费来源，</w:t>
      </w:r>
      <w:r>
        <w:rPr>
          <w:rFonts w:hint="eastAsia" w:ascii="宋体" w:hAnsi="宋体" w:eastAsia="宋体" w:cs="宋体"/>
          <w:kern w:val="0"/>
          <w:sz w:val="32"/>
          <w:szCs w:val="32"/>
        </w:rPr>
        <w:t>可分为财政拨款、财政性资金基本保证、财政性资金定额或定项补助、财政性资金零补助四类。</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left"/>
        <w:rPr>
          <w:rFonts w:hint="eastAsia" w:ascii="宋体" w:hAnsi="宋体" w:eastAsia="宋体" w:cs="宋体"/>
        </w:rPr>
        <w:sectPr>
          <w:headerReference r:id="rId29"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rPr>
          <w:rFonts w:hint="eastAsia" w:ascii="宋体" w:hAnsi="宋体" w:eastAsia="宋体" w:cs="宋体"/>
        </w:rPr>
        <w:sectPr>
          <w:pgSz w:w="11906" w:h="16838"/>
          <w:pgMar w:top="2098" w:right="1474" w:bottom="1985" w:left="1588" w:header="851" w:footer="992" w:gutter="0"/>
          <w:pgNumType w:fmt="numberInDash"/>
          <w:cols w:space="425" w:num="1"/>
          <w:docGrid w:type="lines" w:linePitch="312" w:charSpace="0"/>
        </w:sectPr>
      </w:pPr>
      <w:r>
        <w:rPr>
          <w:rFonts w:hint="eastAsia" w:ascii="宋体" w:hAnsi="宋体" w:eastAsia="宋体" w:cs="宋体"/>
          <w:sz w:val="72"/>
        </w:rPr>
        <w:pict>
          <v:shape id="_x0000_s1028" o:spid="_x0000_s1028" o:spt="202" type="#_x0000_t202" style="position:absolute;left:0pt;margin-left:-82.05pt;margin-top:135.85pt;height:263.1pt;width:613.65pt;z-index:-251665408;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color2="#FFFFFF" o:title="image1" focussize="0,0" r:id="rId34"/>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tbl>
      <w:tblPr>
        <w:tblStyle w:val="8"/>
        <w:tblW w:w="10090" w:type="dxa"/>
        <w:tblInd w:w="91" w:type="dxa"/>
        <w:tblLayout w:type="fixed"/>
        <w:tblCellMar>
          <w:top w:w="0" w:type="dxa"/>
          <w:left w:w="108" w:type="dxa"/>
          <w:bottom w:w="0" w:type="dxa"/>
          <w:right w:w="108" w:type="dxa"/>
        </w:tblCellMar>
      </w:tblPr>
      <w:tblGrid>
        <w:gridCol w:w="361"/>
        <w:gridCol w:w="342"/>
        <w:gridCol w:w="18"/>
        <w:gridCol w:w="222"/>
        <w:gridCol w:w="14"/>
        <w:gridCol w:w="111"/>
        <w:gridCol w:w="2230"/>
        <w:gridCol w:w="600"/>
        <w:gridCol w:w="479"/>
        <w:gridCol w:w="465"/>
        <w:gridCol w:w="376"/>
        <w:gridCol w:w="99"/>
        <w:gridCol w:w="505"/>
        <w:gridCol w:w="415"/>
        <w:gridCol w:w="585"/>
        <w:gridCol w:w="295"/>
        <w:gridCol w:w="184"/>
        <w:gridCol w:w="440"/>
        <w:gridCol w:w="176"/>
        <w:gridCol w:w="260"/>
        <w:gridCol w:w="78"/>
        <w:gridCol w:w="202"/>
        <w:gridCol w:w="163"/>
        <w:gridCol w:w="235"/>
        <w:gridCol w:w="836"/>
        <w:gridCol w:w="283"/>
        <w:gridCol w:w="116"/>
      </w:tblGrid>
      <w:tr>
        <w:tblPrEx>
          <w:tblCellMar>
            <w:top w:w="0" w:type="dxa"/>
            <w:left w:w="108" w:type="dxa"/>
            <w:bottom w:w="0" w:type="dxa"/>
            <w:right w:w="108" w:type="dxa"/>
          </w:tblCellMar>
        </w:tblPrEx>
        <w:trPr>
          <w:trHeight w:val="370" w:hRule="atLeast"/>
        </w:trPr>
        <w:tc>
          <w:tcPr>
            <w:tcW w:w="10090" w:type="dxa"/>
            <w:gridSpan w:val="27"/>
            <w:tcBorders>
              <w:top w:val="nil"/>
              <w:left w:val="nil"/>
              <w:bottom w:val="nil"/>
              <w:right w:val="nil"/>
            </w:tcBorders>
            <w:shd w:val="clear" w:color="000000"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收入支出决算总表　</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60" w:hRule="atLeast"/>
        </w:trPr>
        <w:tc>
          <w:tcPr>
            <w:tcW w:w="3298" w:type="dxa"/>
            <w:gridSpan w:val="7"/>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5" w:type="dxa"/>
            <w:gridSpan w:val="3"/>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260" w:hRule="atLeast"/>
        </w:trPr>
        <w:tc>
          <w:tcPr>
            <w:tcW w:w="3298" w:type="dxa"/>
            <w:gridSpan w:val="7"/>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部门：阜城县工业和信息化局</w:t>
            </w:r>
          </w:p>
        </w:tc>
        <w:tc>
          <w:tcPr>
            <w:tcW w:w="6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5" w:type="dxa"/>
            <w:gridSpan w:val="3"/>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218"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收入</w:t>
            </w:r>
          </w:p>
        </w:tc>
        <w:tc>
          <w:tcPr>
            <w:tcW w:w="4872" w:type="dxa"/>
            <w:gridSpan w:val="1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支出</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行次</w:t>
            </w:r>
          </w:p>
        </w:tc>
        <w:tc>
          <w:tcPr>
            <w:tcW w:w="13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行次</w:t>
            </w:r>
          </w:p>
        </w:tc>
        <w:tc>
          <w:tcPr>
            <w:tcW w:w="1235"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栏次</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栏次</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5"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一、一般公共预算财政拨款收入</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707.19</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273.11</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二、政府性基金预算财政拨款收入</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二、外交支出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三、上级补助收入</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三、国防支出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四、事业收入</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四、公共安全支出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五、经营收入</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五、教育支出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六、附属单位上缴收入</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六、科学技术支出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七、其他收入</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七、文化旅游体育与传媒支出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八、社会保障和就业支出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26.56</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九、卫生健康支出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1.99</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十、节能环保支出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十一、城乡社区支出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十二、农林水支出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十三、交通运输支出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十四、资源勘探信息等支出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108.00</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十五、商业服务业等支出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十六、金融支出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十七、援助其他地区支出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十八、自然资源海洋气象等支出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十九、住房保障支出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3.87</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二十、粮油物资储备支出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二十一、灾害防治及应急管理支出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二十二、其他支出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二十四、债务付息支出</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本年收入合计</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707.19</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本年支出合计</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413.54</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用事业基金弥补收支差额</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结余分配</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年初结转和结余</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6.35</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年末结转和结余</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300.00</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55</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3298" w:type="dxa"/>
            <w:gridSpan w:val="7"/>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总计</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132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713.54</w:t>
            </w:r>
          </w:p>
        </w:tc>
        <w:tc>
          <w:tcPr>
            <w:tcW w:w="3037" w:type="dxa"/>
            <w:gridSpan w:val="10"/>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总计</w:t>
            </w:r>
          </w:p>
        </w:tc>
        <w:tc>
          <w:tcPr>
            <w:tcW w:w="6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56</w:t>
            </w:r>
          </w:p>
        </w:tc>
        <w:tc>
          <w:tcPr>
            <w:tcW w:w="1235"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713.54</w:t>
            </w:r>
          </w:p>
        </w:tc>
      </w:tr>
      <w:tr>
        <w:tblPrEx>
          <w:tblCellMar>
            <w:top w:w="0" w:type="dxa"/>
            <w:left w:w="108" w:type="dxa"/>
            <w:bottom w:w="0" w:type="dxa"/>
            <w:right w:w="108" w:type="dxa"/>
          </w:tblCellMar>
        </w:tblPrEx>
        <w:trPr>
          <w:trHeight w:val="308" w:hRule="atLeast"/>
        </w:trPr>
        <w:tc>
          <w:tcPr>
            <w:tcW w:w="10090" w:type="dxa"/>
            <w:gridSpan w:val="27"/>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注：本表反映部门本年度的总收支和年末结转结余情况。</w:t>
            </w:r>
          </w:p>
        </w:tc>
      </w:tr>
      <w:tr>
        <w:tblPrEx>
          <w:tblCellMar>
            <w:top w:w="0" w:type="dxa"/>
            <w:left w:w="108" w:type="dxa"/>
            <w:bottom w:w="0" w:type="dxa"/>
            <w:right w:w="108" w:type="dxa"/>
          </w:tblCellMar>
        </w:tblPrEx>
        <w:trPr>
          <w:trHeight w:val="308" w:hRule="atLeast"/>
        </w:trPr>
        <w:tc>
          <w:tcPr>
            <w:tcW w:w="10090" w:type="dxa"/>
            <w:gridSpan w:val="27"/>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20"/>
                <w:szCs w:val="20"/>
              </w:rPr>
            </w:pPr>
          </w:p>
          <w:p>
            <w:pPr>
              <w:widowControl/>
              <w:ind w:firstLine="4000" w:firstLineChars="20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收入决算表</w:t>
            </w:r>
          </w:p>
        </w:tc>
      </w:tr>
      <w:tr>
        <w:tblPrEx>
          <w:tblCellMar>
            <w:top w:w="0" w:type="dxa"/>
            <w:left w:w="108" w:type="dxa"/>
            <w:bottom w:w="0" w:type="dxa"/>
            <w:right w:w="108" w:type="dxa"/>
          </w:tblCellMar>
        </w:tblPrEx>
        <w:trPr>
          <w:gridAfter w:val="1"/>
          <w:wAfter w:w="116" w:type="dxa"/>
          <w:trHeight w:val="270" w:hRule="atLeast"/>
        </w:trPr>
        <w:tc>
          <w:tcPr>
            <w:tcW w:w="361"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34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365" w:type="dxa"/>
            <w:gridSpan w:val="4"/>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3774" w:type="dxa"/>
            <w:gridSpan w:val="4"/>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980" w:type="dxa"/>
            <w:gridSpan w:val="3"/>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1000"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479"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4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436"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443" w:type="dxa"/>
            <w:gridSpan w:val="3"/>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1354" w:type="dxa"/>
            <w:gridSpan w:val="3"/>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公开02表</w:t>
            </w:r>
          </w:p>
        </w:tc>
      </w:tr>
      <w:tr>
        <w:tblPrEx>
          <w:tblCellMar>
            <w:top w:w="0" w:type="dxa"/>
            <w:left w:w="108" w:type="dxa"/>
            <w:bottom w:w="0" w:type="dxa"/>
            <w:right w:w="108" w:type="dxa"/>
          </w:tblCellMar>
        </w:tblPrEx>
        <w:trPr>
          <w:gridAfter w:val="1"/>
          <w:wAfter w:w="116" w:type="dxa"/>
          <w:trHeight w:val="270" w:hRule="atLeast"/>
        </w:trPr>
        <w:tc>
          <w:tcPr>
            <w:tcW w:w="4842" w:type="dxa"/>
            <w:gridSpan w:val="10"/>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部门：阜城县工业和信息化局</w:t>
            </w:r>
          </w:p>
        </w:tc>
        <w:tc>
          <w:tcPr>
            <w:tcW w:w="980" w:type="dxa"/>
            <w:gridSpan w:val="3"/>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1000"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479"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440"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436" w:type="dxa"/>
            <w:gridSpan w:val="2"/>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443" w:type="dxa"/>
            <w:gridSpan w:val="3"/>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22"/>
              </w:rPr>
            </w:pPr>
          </w:p>
        </w:tc>
        <w:tc>
          <w:tcPr>
            <w:tcW w:w="1354" w:type="dxa"/>
            <w:gridSpan w:val="3"/>
            <w:tcBorders>
              <w:top w:val="nil"/>
              <w:left w:val="nil"/>
              <w:bottom w:val="nil"/>
              <w:right w:val="nil"/>
            </w:tcBorders>
            <w:shd w:val="clear" w:color="auto" w:fill="auto"/>
            <w:vAlign w:val="bottom"/>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金额单位：万元</w:t>
            </w:r>
          </w:p>
        </w:tc>
      </w:tr>
      <w:tr>
        <w:tblPrEx>
          <w:tblCellMar>
            <w:top w:w="0" w:type="dxa"/>
            <w:left w:w="108" w:type="dxa"/>
            <w:bottom w:w="0" w:type="dxa"/>
            <w:right w:w="108" w:type="dxa"/>
          </w:tblCellMar>
        </w:tblPrEx>
        <w:trPr>
          <w:gridAfter w:val="1"/>
          <w:wAfter w:w="116" w:type="dxa"/>
          <w:trHeight w:val="169" w:hRule="atLeast"/>
        </w:trPr>
        <w:tc>
          <w:tcPr>
            <w:tcW w:w="4842" w:type="dxa"/>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项目</w:t>
            </w:r>
          </w:p>
        </w:tc>
        <w:tc>
          <w:tcPr>
            <w:tcW w:w="980"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本年收入合计</w:t>
            </w:r>
          </w:p>
        </w:tc>
        <w:tc>
          <w:tcPr>
            <w:tcW w:w="1000"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财政拨款收入</w:t>
            </w:r>
          </w:p>
        </w:tc>
        <w:tc>
          <w:tcPr>
            <w:tcW w:w="479"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上级补助收入</w:t>
            </w:r>
          </w:p>
        </w:tc>
        <w:tc>
          <w:tcPr>
            <w:tcW w:w="44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事业收入</w:t>
            </w:r>
          </w:p>
        </w:tc>
        <w:tc>
          <w:tcPr>
            <w:tcW w:w="436"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经营收入</w:t>
            </w:r>
          </w:p>
        </w:tc>
        <w:tc>
          <w:tcPr>
            <w:tcW w:w="443"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附属单位上缴收入</w:t>
            </w:r>
          </w:p>
        </w:tc>
        <w:tc>
          <w:tcPr>
            <w:tcW w:w="1354"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其他收入</w:t>
            </w:r>
          </w:p>
        </w:tc>
      </w:tr>
      <w:tr>
        <w:tblPrEx>
          <w:tblCellMar>
            <w:top w:w="0" w:type="dxa"/>
            <w:left w:w="108" w:type="dxa"/>
            <w:bottom w:w="0" w:type="dxa"/>
            <w:right w:w="108" w:type="dxa"/>
          </w:tblCellMar>
        </w:tblPrEx>
        <w:trPr>
          <w:gridAfter w:val="1"/>
          <w:wAfter w:w="116" w:type="dxa"/>
          <w:trHeight w:val="312" w:hRule="atLeast"/>
        </w:trPr>
        <w:tc>
          <w:tcPr>
            <w:tcW w:w="1068" w:type="dxa"/>
            <w:gridSpan w:val="6"/>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功能分类科目编码</w:t>
            </w:r>
          </w:p>
        </w:tc>
        <w:tc>
          <w:tcPr>
            <w:tcW w:w="3774" w:type="dxa"/>
            <w:gridSpan w:val="4"/>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科目名称</w:t>
            </w:r>
          </w:p>
        </w:tc>
        <w:tc>
          <w:tcPr>
            <w:tcW w:w="98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0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7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40"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3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43"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35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gridAfter w:val="1"/>
          <w:wAfter w:w="116" w:type="dxa"/>
          <w:trHeight w:val="312" w:hRule="atLeast"/>
        </w:trPr>
        <w:tc>
          <w:tcPr>
            <w:tcW w:w="1068"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3774" w:type="dxa"/>
            <w:gridSpan w:val="4"/>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98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0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7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40"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3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43"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35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gridAfter w:val="1"/>
          <w:wAfter w:w="116" w:type="dxa"/>
          <w:trHeight w:val="1174" w:hRule="atLeast"/>
        </w:trPr>
        <w:tc>
          <w:tcPr>
            <w:tcW w:w="1068" w:type="dxa"/>
            <w:gridSpan w:val="6"/>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3774" w:type="dxa"/>
            <w:gridSpan w:val="4"/>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98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0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7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40"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3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443"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35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gridAfter w:val="1"/>
          <w:wAfter w:w="116" w:type="dxa"/>
          <w:trHeight w:val="203" w:hRule="atLeast"/>
        </w:trPr>
        <w:tc>
          <w:tcPr>
            <w:tcW w:w="4842" w:type="dxa"/>
            <w:gridSpan w:val="10"/>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栏次</w:t>
            </w:r>
          </w:p>
        </w:tc>
        <w:tc>
          <w:tcPr>
            <w:tcW w:w="98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00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479"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43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443"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c>
          <w:tcPr>
            <w:tcW w:w="1354"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r>
      <w:tr>
        <w:tblPrEx>
          <w:tblCellMar>
            <w:top w:w="0" w:type="dxa"/>
            <w:left w:w="108" w:type="dxa"/>
            <w:bottom w:w="0" w:type="dxa"/>
            <w:right w:w="108" w:type="dxa"/>
          </w:tblCellMar>
        </w:tblPrEx>
        <w:trPr>
          <w:gridAfter w:val="1"/>
          <w:wAfter w:w="116" w:type="dxa"/>
          <w:trHeight w:val="270" w:hRule="atLeast"/>
        </w:trPr>
        <w:tc>
          <w:tcPr>
            <w:tcW w:w="4842" w:type="dxa"/>
            <w:gridSpan w:val="10"/>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707.19</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707.19</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201</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一般公共服务支出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266.77</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266.77</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20104</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发展与改革事务</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266.77</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266.77</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2010401</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行政运行</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42.39</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42.39</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2010402</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一般行政管理事务</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3.50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3.50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2010450</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事业运行</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5.97</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5.97</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2010499</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其他发展与改革事务支出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214.91</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214.91</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206</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科学技术支出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300.00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300.00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20699</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其他科学技术支出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300.00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300.00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2069999</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其他科学技术支出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300.00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300.00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208</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社会保障和就业支出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26.56</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26.56</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20805</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行政事业单位离退休</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26.32</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26.32</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2080505</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机关事业单位基本养老保险缴费支出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19.72</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19.72</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2080506</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机关事业单位职业年金缴费支出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6.60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6.60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20827</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财政对其他社会保险基金的补助</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0.25</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0.25</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2082702</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财政对工伤保险基金的补助</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0.15</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0.15</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2082703</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财政对生育保险基金的补助</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0.10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0.10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210</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卫生健康支出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1.99</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1.99</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21011</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行政事业单位医疗</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1.99</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1.99</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2101101</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行政单位医疗</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1.72</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1.72</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2101102</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事业单位医疗</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0.27</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0.27</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215</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资源勘探信息等支出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108.00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108.00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21505</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工业和信息产业监管</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102.00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102.00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2150510</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工业和信息产业支持</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102.00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102.00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21508</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支持中小企业发展和管理支出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6.00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6.00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2150805</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中小企业发展专项</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6.00</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6.00</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221</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住房保障支出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3.87</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3.87</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22102</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住房改革支出</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3.87</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3.87</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1068" w:type="dxa"/>
            <w:gridSpan w:val="6"/>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2210201</w:t>
            </w:r>
          </w:p>
        </w:tc>
        <w:tc>
          <w:tcPr>
            <w:tcW w:w="3774" w:type="dxa"/>
            <w:gridSpan w:val="4"/>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住房公积金</w:t>
            </w:r>
          </w:p>
        </w:tc>
        <w:tc>
          <w:tcPr>
            <w:tcW w:w="98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3.87</w:t>
            </w:r>
          </w:p>
        </w:tc>
        <w:tc>
          <w:tcPr>
            <w:tcW w:w="10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3.87</w:t>
            </w:r>
          </w:p>
        </w:tc>
        <w:tc>
          <w:tcPr>
            <w:tcW w:w="47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3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43"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5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gridAfter w:val="1"/>
          <w:wAfter w:w="116" w:type="dxa"/>
          <w:trHeight w:val="270" w:hRule="atLeast"/>
        </w:trPr>
        <w:tc>
          <w:tcPr>
            <w:tcW w:w="9974" w:type="dxa"/>
            <w:gridSpan w:val="26"/>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gridAfter w:val="2"/>
          <w:wAfter w:w="399" w:type="dxa"/>
          <w:trHeight w:val="330" w:hRule="atLeast"/>
        </w:trPr>
        <w:tc>
          <w:tcPr>
            <w:tcW w:w="361"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60"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36"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20" w:type="dxa"/>
            <w:gridSpan w:val="4"/>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支出决算表</w:t>
            </w:r>
          </w:p>
        </w:tc>
        <w:tc>
          <w:tcPr>
            <w:tcW w:w="94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20" w:type="dxa"/>
            <w:gridSpan w:val="2"/>
            <w:tcBorders>
              <w:top w:val="nil"/>
              <w:left w:val="nil"/>
              <w:bottom w:val="nil"/>
              <w:right w:val="nil"/>
            </w:tcBorders>
            <w:shd w:val="clear" w:color="000000" w:fill="FFFFFF"/>
            <w:vAlign w:val="bottom"/>
          </w:tcPr>
          <w:p>
            <w:pPr>
              <w:widowControl/>
              <w:jc w:val="center"/>
              <w:rPr>
                <w:rFonts w:hint="eastAsia" w:ascii="宋体" w:hAnsi="宋体" w:eastAsia="宋体" w:cs="宋体"/>
                <w:color w:val="000000"/>
                <w:kern w:val="0"/>
                <w:sz w:val="30"/>
                <w:szCs w:val="30"/>
              </w:rPr>
            </w:pPr>
          </w:p>
        </w:tc>
        <w:tc>
          <w:tcPr>
            <w:tcW w:w="880"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p>
        </w:tc>
        <w:tc>
          <w:tcPr>
            <w:tcW w:w="80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00" w:hRule="atLeast"/>
        </w:trPr>
        <w:tc>
          <w:tcPr>
            <w:tcW w:w="361"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60"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36"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20" w:type="dxa"/>
            <w:gridSpan w:val="4"/>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20"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2"/>
          <w:wAfter w:w="399" w:type="dxa"/>
          <w:trHeight w:val="220" w:hRule="atLeast"/>
        </w:trPr>
        <w:tc>
          <w:tcPr>
            <w:tcW w:w="4377" w:type="dxa"/>
            <w:gridSpan w:val="9"/>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部门：阜城县工业和信息化局</w:t>
            </w:r>
          </w:p>
        </w:tc>
        <w:tc>
          <w:tcPr>
            <w:tcW w:w="94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20"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108" w:type="dxa"/>
            <w:bottom w:w="0" w:type="dxa"/>
            <w:right w:w="108" w:type="dxa"/>
          </w:tblCellMar>
        </w:tblPrEx>
        <w:trPr>
          <w:gridAfter w:val="2"/>
          <w:wAfter w:w="399" w:type="dxa"/>
          <w:trHeight w:val="230" w:hRule="atLeast"/>
        </w:trPr>
        <w:tc>
          <w:tcPr>
            <w:tcW w:w="4377" w:type="dxa"/>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w:t>
            </w:r>
          </w:p>
        </w:tc>
        <w:tc>
          <w:tcPr>
            <w:tcW w:w="940"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本年支出合计</w:t>
            </w:r>
          </w:p>
        </w:tc>
        <w:tc>
          <w:tcPr>
            <w:tcW w:w="920"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基本支出</w:t>
            </w:r>
          </w:p>
        </w:tc>
        <w:tc>
          <w:tcPr>
            <w:tcW w:w="880"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项目支出</w:t>
            </w:r>
          </w:p>
        </w:tc>
        <w:tc>
          <w:tcPr>
            <w:tcW w:w="800"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上缴上级支出</w:t>
            </w:r>
          </w:p>
        </w:tc>
        <w:tc>
          <w:tcPr>
            <w:tcW w:w="540"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经营支出</w:t>
            </w:r>
          </w:p>
        </w:tc>
        <w:tc>
          <w:tcPr>
            <w:tcW w:w="1234"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对附属单位补助支出</w:t>
            </w:r>
          </w:p>
        </w:tc>
      </w:tr>
      <w:tr>
        <w:tblPrEx>
          <w:tblCellMar>
            <w:top w:w="0" w:type="dxa"/>
            <w:left w:w="108" w:type="dxa"/>
            <w:bottom w:w="0" w:type="dxa"/>
            <w:right w:w="108" w:type="dxa"/>
          </w:tblCellMar>
        </w:tblPrEx>
        <w:trPr>
          <w:gridAfter w:val="2"/>
          <w:wAfter w:w="399" w:type="dxa"/>
          <w:trHeight w:val="312" w:hRule="atLeast"/>
        </w:trPr>
        <w:tc>
          <w:tcPr>
            <w:tcW w:w="943" w:type="dxa"/>
            <w:gridSpan w:val="4"/>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功能分类科目编码</w:t>
            </w:r>
          </w:p>
        </w:tc>
        <w:tc>
          <w:tcPr>
            <w:tcW w:w="3434" w:type="dxa"/>
            <w:gridSpan w:val="5"/>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科目名称</w:t>
            </w:r>
          </w:p>
        </w:tc>
        <w:tc>
          <w:tcPr>
            <w:tcW w:w="94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92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88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80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54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123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gridAfter w:val="2"/>
          <w:wAfter w:w="399" w:type="dxa"/>
          <w:trHeight w:val="312" w:hRule="atLeast"/>
        </w:trPr>
        <w:tc>
          <w:tcPr>
            <w:tcW w:w="943"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3434" w:type="dxa"/>
            <w:gridSpan w:val="5"/>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94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92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88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80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54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123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gridAfter w:val="2"/>
          <w:wAfter w:w="399" w:type="dxa"/>
          <w:trHeight w:val="312" w:hRule="atLeast"/>
        </w:trPr>
        <w:tc>
          <w:tcPr>
            <w:tcW w:w="943"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3434" w:type="dxa"/>
            <w:gridSpan w:val="5"/>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94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92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88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80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54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c>
          <w:tcPr>
            <w:tcW w:w="1234"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gridAfter w:val="2"/>
          <w:wAfter w:w="399" w:type="dxa"/>
          <w:trHeight w:val="230" w:hRule="atLeast"/>
        </w:trPr>
        <w:tc>
          <w:tcPr>
            <w:tcW w:w="4377" w:type="dxa"/>
            <w:gridSpan w:val="9"/>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栏次</w:t>
            </w:r>
          </w:p>
        </w:tc>
        <w:tc>
          <w:tcPr>
            <w:tcW w:w="94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9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8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4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234"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w:t>
            </w:r>
          </w:p>
        </w:tc>
      </w:tr>
      <w:tr>
        <w:tblPrEx>
          <w:tblCellMar>
            <w:top w:w="0" w:type="dxa"/>
            <w:left w:w="108" w:type="dxa"/>
            <w:bottom w:w="0" w:type="dxa"/>
            <w:right w:w="108" w:type="dxa"/>
          </w:tblCellMar>
        </w:tblPrEx>
        <w:trPr>
          <w:gridAfter w:val="2"/>
          <w:wAfter w:w="399" w:type="dxa"/>
          <w:trHeight w:val="230" w:hRule="atLeast"/>
        </w:trPr>
        <w:tc>
          <w:tcPr>
            <w:tcW w:w="4377" w:type="dxa"/>
            <w:gridSpan w:val="9"/>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合计</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413.54</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82.23</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331.31</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一般公共服务支出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273.11</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49.80</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223.31</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20104</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发展与改革事务</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273.11</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49.80</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223.31</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2010401</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行政运行</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43.83</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43.83</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2010402</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一般行政管理事务</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8.41</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8.41</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2010450</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事业运行</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5.97</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5.97</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2010499</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其他发展与改革事务支出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214.91</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214.91</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208</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社会保障和就业支出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26.56</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26.56</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20805</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行政事业单位离退休</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26.32</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26.32</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2080505</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机关事业单位基本养老保险缴费支出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19.72</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19.72</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2080506</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机关事业单位职业年金缴费支出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6.60</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6.60</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20827</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财政对其他社会保险基金的补助</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0.25</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0.25</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2082702</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财政对工伤保险基金的补助</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0.15</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0.15</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2082703</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财政对生育保险基金的补助</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0.10</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0.10</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210</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卫生健康支出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1.99</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1.99</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21011</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行政事业单位医疗</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1.99</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1.99</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2101101</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行政单位医疗</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1.72</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1.72</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2101102</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事业单位医疗</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0.27</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0.27</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215</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资源勘探信息等支出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108.00</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108.00</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21505</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工业和信息产业监管</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102.00</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102.00</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2150510</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工业和信息产业支持</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102.00</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102.00</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21508</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支持中小企业发展和管理支出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6.00</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6.00</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2150805</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中小企业发展专项</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6.00</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6.00</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221</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住房保障支出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3.87</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3.87</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22102</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住房改革支出</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3.87</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3.87</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43" w:type="dxa"/>
            <w:gridSpan w:val="4"/>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2210201</w:t>
            </w:r>
          </w:p>
        </w:tc>
        <w:tc>
          <w:tcPr>
            <w:tcW w:w="3434" w:type="dxa"/>
            <w:gridSpan w:val="5"/>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住房公积金</w:t>
            </w:r>
          </w:p>
        </w:tc>
        <w:tc>
          <w:tcPr>
            <w:tcW w:w="9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3.87</w:t>
            </w:r>
          </w:p>
        </w:tc>
        <w:tc>
          <w:tcPr>
            <w:tcW w:w="9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3.87</w:t>
            </w:r>
          </w:p>
        </w:tc>
        <w:tc>
          <w:tcPr>
            <w:tcW w:w="88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0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40"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gridSpan w:val="3"/>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2"/>
          <w:wAfter w:w="399" w:type="dxa"/>
          <w:trHeight w:val="230" w:hRule="atLeast"/>
        </w:trPr>
        <w:tc>
          <w:tcPr>
            <w:tcW w:w="9691" w:type="dxa"/>
            <w:gridSpan w:val="25"/>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注：本表反映部门本年度各项支出情况。</w:t>
            </w:r>
          </w:p>
        </w:tc>
      </w:tr>
    </w:tbl>
    <w:p>
      <w:pPr>
        <w:tabs>
          <w:tab w:val="left" w:pos="886"/>
        </w:tabs>
        <w:jc w:val="left"/>
        <w:rPr>
          <w:rFonts w:hint="eastAsia" w:ascii="宋体" w:hAnsi="宋体" w:eastAsia="宋体" w:cs="宋体"/>
        </w:rPr>
      </w:pPr>
    </w:p>
    <w:p>
      <w:pPr>
        <w:jc w:val="left"/>
        <w:rPr>
          <w:rFonts w:hint="eastAsia" w:ascii="宋体" w:hAnsi="宋体" w:eastAsia="宋体" w:cs="宋体"/>
        </w:rPr>
      </w:pPr>
    </w:p>
    <w:tbl>
      <w:tblPr>
        <w:tblStyle w:val="8"/>
        <w:tblpPr w:leftFromText="180" w:rightFromText="180" w:vertAnchor="text" w:horzAnchor="margin" w:tblpY="-1056"/>
        <w:tblW w:w="10282" w:type="dxa"/>
        <w:tblInd w:w="0" w:type="dxa"/>
        <w:tblLayout w:type="fixed"/>
        <w:tblCellMar>
          <w:top w:w="0" w:type="dxa"/>
          <w:left w:w="108" w:type="dxa"/>
          <w:bottom w:w="0" w:type="dxa"/>
          <w:right w:w="108" w:type="dxa"/>
        </w:tblCellMar>
      </w:tblPr>
      <w:tblGrid>
        <w:gridCol w:w="2374"/>
        <w:gridCol w:w="600"/>
        <w:gridCol w:w="780"/>
        <w:gridCol w:w="2734"/>
        <w:gridCol w:w="600"/>
        <w:gridCol w:w="880"/>
        <w:gridCol w:w="1080"/>
        <w:gridCol w:w="1234"/>
      </w:tblGrid>
      <w:tr>
        <w:tblPrEx>
          <w:tblCellMar>
            <w:top w:w="0" w:type="dxa"/>
            <w:left w:w="108" w:type="dxa"/>
            <w:bottom w:w="0" w:type="dxa"/>
            <w:right w:w="108" w:type="dxa"/>
          </w:tblCellMar>
        </w:tblPrEx>
        <w:trPr>
          <w:trHeight w:val="260" w:hRule="atLeast"/>
        </w:trPr>
        <w:tc>
          <w:tcPr>
            <w:tcW w:w="2374"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734" w:type="dxa"/>
            <w:tcBorders>
              <w:top w:val="nil"/>
              <w:left w:val="nil"/>
              <w:bottom w:val="nil"/>
              <w:right w:val="nil"/>
            </w:tcBorders>
            <w:shd w:val="clear" w:color="000000" w:fill="FFFFFF"/>
            <w:vAlign w:val="bottom"/>
          </w:tcPr>
          <w:p>
            <w:pPr>
              <w:widowControl/>
              <w:jc w:val="center"/>
              <w:rPr>
                <w:rFonts w:hint="eastAsia" w:ascii="宋体" w:hAnsi="宋体" w:eastAsia="宋体" w:cs="宋体"/>
                <w:color w:val="000000"/>
                <w:kern w:val="0"/>
                <w:sz w:val="20"/>
                <w:szCs w:val="20"/>
              </w:rPr>
            </w:pP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财政拨款收入支出决算总表</w:t>
            </w:r>
          </w:p>
        </w:tc>
        <w:tc>
          <w:tcPr>
            <w:tcW w:w="6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60" w:hRule="atLeast"/>
        </w:trPr>
        <w:tc>
          <w:tcPr>
            <w:tcW w:w="2374"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p>
        </w:tc>
        <w:tc>
          <w:tcPr>
            <w:tcW w:w="6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734"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p>
        </w:tc>
        <w:tc>
          <w:tcPr>
            <w:tcW w:w="1234" w:type="dxa"/>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p>
          <w:p>
            <w:pPr>
              <w:widowControl/>
              <w:jc w:val="right"/>
              <w:rPr>
                <w:rFonts w:hint="eastAsia" w:ascii="宋体" w:hAnsi="宋体" w:eastAsia="宋体" w:cs="宋体"/>
                <w:color w:val="000000"/>
                <w:kern w:val="0"/>
                <w:sz w:val="20"/>
                <w:szCs w:val="20"/>
              </w:rPr>
            </w:pPr>
          </w:p>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260" w:hRule="atLeast"/>
        </w:trPr>
        <w:tc>
          <w:tcPr>
            <w:tcW w:w="2974" w:type="dxa"/>
            <w:gridSpan w:val="2"/>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部门：阜城县工业和信息化局</w:t>
            </w:r>
          </w:p>
        </w:tc>
        <w:tc>
          <w:tcPr>
            <w:tcW w:w="7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734"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34" w:type="dxa"/>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754"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收     入</w:t>
            </w:r>
          </w:p>
        </w:tc>
        <w:tc>
          <w:tcPr>
            <w:tcW w:w="6528"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支     出</w:t>
            </w:r>
          </w:p>
        </w:tc>
      </w:tr>
      <w:tr>
        <w:tblPrEx>
          <w:tblCellMar>
            <w:top w:w="0" w:type="dxa"/>
            <w:left w:w="108" w:type="dxa"/>
            <w:bottom w:w="0" w:type="dxa"/>
            <w:right w:w="108" w:type="dxa"/>
          </w:tblCellMar>
        </w:tblPrEx>
        <w:trPr>
          <w:trHeight w:val="312" w:hRule="atLeast"/>
        </w:trPr>
        <w:tc>
          <w:tcPr>
            <w:tcW w:w="2374"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6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行次</w:t>
            </w:r>
          </w:p>
        </w:tc>
        <w:tc>
          <w:tcPr>
            <w:tcW w:w="7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金额</w:t>
            </w:r>
          </w:p>
        </w:tc>
        <w:tc>
          <w:tcPr>
            <w:tcW w:w="273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6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0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一般公共预算财政拨款</w:t>
            </w:r>
          </w:p>
        </w:tc>
        <w:tc>
          <w:tcPr>
            <w:tcW w:w="123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108" w:type="dxa"/>
            <w:bottom w:w="0" w:type="dxa"/>
            <w:right w:w="108" w:type="dxa"/>
          </w:tblCellMar>
        </w:tblPrEx>
        <w:trPr>
          <w:trHeight w:val="460" w:hRule="atLeast"/>
        </w:trPr>
        <w:tc>
          <w:tcPr>
            <w:tcW w:w="2374"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0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78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2734"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0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234"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734"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34"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一、一般公共预算财政拨款</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707.19</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一、一般公共服务支出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273.11</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273.11</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二、政府性基金预算财政拨款</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七、文化旅游体育与传媒支出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八、社会保障和就业支出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26.56</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26.56</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九、卫生健康支出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十、节能环保支出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十一、城乡社区支出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十二、农林水支出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十三、交通运输支出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十四、资源勘探信息等支出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108.00</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108.00</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十五、商业服务业等支出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十六、金融支出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十七、援助其他地区支出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十八、自然资源海洋气象等支出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十九、住房保障支出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二十、粮油物资储备支出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二十一、灾害防治及应急管理支出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二十二、其他支出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二十四、债务付息支出</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本年收入合计</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707.19</w:t>
            </w:r>
          </w:p>
        </w:tc>
        <w:tc>
          <w:tcPr>
            <w:tcW w:w="2734"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本年支出合计</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413.54</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413.54</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年初财政拨款结转和结余</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6.35</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年末财政拨款结转和结余</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300.00</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300.00</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一、一般公共预算财政拨款</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6.35</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二、政府性基金预算财政拨款</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34"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40" w:hRule="atLeast"/>
        </w:trPr>
        <w:tc>
          <w:tcPr>
            <w:tcW w:w="2374"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总计</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713.54</w:t>
            </w:r>
          </w:p>
        </w:tc>
        <w:tc>
          <w:tcPr>
            <w:tcW w:w="2734"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总计</w:t>
            </w:r>
          </w:p>
        </w:tc>
        <w:tc>
          <w:tcPr>
            <w:tcW w:w="6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713.54</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713.54</w:t>
            </w:r>
          </w:p>
        </w:tc>
        <w:tc>
          <w:tcPr>
            <w:tcW w:w="1234"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282" w:type="dxa"/>
            <w:gridSpan w:val="8"/>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注：本表反映部门本年度一般公共预算财政拨款和政府性基金预算财政拨款的总收支和年末结转结余情况。</w:t>
            </w:r>
          </w:p>
        </w:tc>
      </w:tr>
    </w:tbl>
    <w:tbl>
      <w:tblPr>
        <w:tblStyle w:val="8"/>
        <w:tblW w:w="8900" w:type="dxa"/>
        <w:tblInd w:w="91" w:type="dxa"/>
        <w:tblLayout w:type="fixed"/>
        <w:tblCellMar>
          <w:top w:w="0" w:type="dxa"/>
          <w:left w:w="108" w:type="dxa"/>
          <w:bottom w:w="0" w:type="dxa"/>
          <w:right w:w="108" w:type="dxa"/>
        </w:tblCellMar>
      </w:tblPr>
      <w:tblGrid>
        <w:gridCol w:w="360"/>
        <w:gridCol w:w="360"/>
        <w:gridCol w:w="320"/>
        <w:gridCol w:w="3869"/>
        <w:gridCol w:w="1313"/>
        <w:gridCol w:w="1318"/>
        <w:gridCol w:w="1360"/>
      </w:tblGrid>
      <w:tr>
        <w:tblPrEx>
          <w:tblCellMar>
            <w:top w:w="0" w:type="dxa"/>
            <w:left w:w="108" w:type="dxa"/>
            <w:bottom w:w="0" w:type="dxa"/>
            <w:right w:w="108" w:type="dxa"/>
          </w:tblCellMar>
        </w:tblPrEx>
        <w:trPr>
          <w:trHeight w:val="230" w:hRule="atLeast"/>
        </w:trPr>
        <w:tc>
          <w:tcPr>
            <w:tcW w:w="36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6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2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500" w:type="dxa"/>
            <w:gridSpan w:val="3"/>
            <w:tcBorders>
              <w:top w:val="nil"/>
              <w:left w:val="nil"/>
              <w:bottom w:val="nil"/>
              <w:right w:val="nil"/>
            </w:tcBorders>
            <w:shd w:val="clear" w:color="000000" w:fill="FFFFFF"/>
            <w:vAlign w:val="bottom"/>
          </w:tcPr>
          <w:p>
            <w:pPr>
              <w:widowControl/>
              <w:jc w:val="center"/>
              <w:rPr>
                <w:rFonts w:hint="eastAsia" w:ascii="宋体" w:hAnsi="宋体" w:eastAsia="宋体" w:cs="宋体"/>
                <w:color w:val="000000"/>
                <w:kern w:val="0"/>
                <w:sz w:val="18"/>
                <w:szCs w:val="18"/>
              </w:rPr>
            </w:pPr>
          </w:p>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一般公共预算财政拨款支出决算表</w:t>
            </w:r>
          </w:p>
        </w:tc>
        <w:tc>
          <w:tcPr>
            <w:tcW w:w="136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10" w:hRule="atLeast"/>
        </w:trPr>
        <w:tc>
          <w:tcPr>
            <w:tcW w:w="36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6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2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869"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13"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18"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公开05表</w:t>
            </w:r>
          </w:p>
        </w:tc>
      </w:tr>
      <w:tr>
        <w:tblPrEx>
          <w:tblCellMar>
            <w:top w:w="0" w:type="dxa"/>
            <w:left w:w="108" w:type="dxa"/>
            <w:bottom w:w="0" w:type="dxa"/>
            <w:right w:w="108" w:type="dxa"/>
          </w:tblCellMar>
        </w:tblPrEx>
        <w:trPr>
          <w:trHeight w:val="250" w:hRule="atLeast"/>
        </w:trPr>
        <w:tc>
          <w:tcPr>
            <w:tcW w:w="4909" w:type="dxa"/>
            <w:gridSpan w:val="4"/>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部门：阜城县工业和信息化局</w:t>
            </w:r>
          </w:p>
        </w:tc>
        <w:tc>
          <w:tcPr>
            <w:tcW w:w="1313"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18"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金额单位：万元</w:t>
            </w:r>
          </w:p>
        </w:tc>
      </w:tr>
      <w:tr>
        <w:tblPrEx>
          <w:tblCellMar>
            <w:top w:w="0" w:type="dxa"/>
            <w:left w:w="108" w:type="dxa"/>
            <w:bottom w:w="0" w:type="dxa"/>
            <w:right w:w="108" w:type="dxa"/>
          </w:tblCellMar>
        </w:tblPrEx>
        <w:trPr>
          <w:trHeight w:val="280" w:hRule="atLeast"/>
        </w:trPr>
        <w:tc>
          <w:tcPr>
            <w:tcW w:w="4909"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399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本年支出</w:t>
            </w:r>
          </w:p>
        </w:tc>
      </w:tr>
      <w:tr>
        <w:tblPrEx>
          <w:tblCellMar>
            <w:top w:w="0" w:type="dxa"/>
            <w:left w:w="108" w:type="dxa"/>
            <w:bottom w:w="0" w:type="dxa"/>
            <w:right w:w="108" w:type="dxa"/>
          </w:tblCellMar>
        </w:tblPrEx>
        <w:trPr>
          <w:trHeight w:val="312" w:hRule="atLeast"/>
        </w:trPr>
        <w:tc>
          <w:tcPr>
            <w:tcW w:w="104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功能分类科目编码</w:t>
            </w:r>
          </w:p>
        </w:tc>
        <w:tc>
          <w:tcPr>
            <w:tcW w:w="386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31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小计</w:t>
            </w:r>
          </w:p>
        </w:tc>
        <w:tc>
          <w:tcPr>
            <w:tcW w:w="131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基本支出</w:t>
            </w:r>
          </w:p>
        </w:tc>
        <w:tc>
          <w:tcPr>
            <w:tcW w:w="13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项目支出</w:t>
            </w:r>
          </w:p>
        </w:tc>
      </w:tr>
      <w:tr>
        <w:tblPrEx>
          <w:tblCellMar>
            <w:top w:w="0" w:type="dxa"/>
            <w:left w:w="108" w:type="dxa"/>
            <w:bottom w:w="0" w:type="dxa"/>
            <w:right w:w="108" w:type="dxa"/>
          </w:tblCellMar>
        </w:tblPrEx>
        <w:trPr>
          <w:trHeight w:val="312" w:hRule="atLeast"/>
        </w:trPr>
        <w:tc>
          <w:tcPr>
            <w:tcW w:w="104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3869"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313"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318"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312" w:hRule="atLeast"/>
        </w:trPr>
        <w:tc>
          <w:tcPr>
            <w:tcW w:w="104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3869"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313"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318"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220" w:hRule="atLeast"/>
        </w:trPr>
        <w:tc>
          <w:tcPr>
            <w:tcW w:w="4909"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1313"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18"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6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CellMar>
            <w:top w:w="0" w:type="dxa"/>
            <w:left w:w="108" w:type="dxa"/>
            <w:bottom w:w="0" w:type="dxa"/>
            <w:right w:w="108" w:type="dxa"/>
          </w:tblCellMar>
        </w:tblPrEx>
        <w:trPr>
          <w:trHeight w:val="280" w:hRule="atLeast"/>
        </w:trPr>
        <w:tc>
          <w:tcPr>
            <w:tcW w:w="4909"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413.54</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82.23</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331.31</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一般公共服务支出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273.11</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49.80</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223.31</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20104</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发展与改革事务</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273.11</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49.80</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223.31</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2010401</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行政运行</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43.83</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43.83</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2010402</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一般行政管理事务</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8.41</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8.41</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2010450</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事业运行</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5.97</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5.97</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2010499</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其他发展与改革事务支出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214.91</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214.91</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社会保障和就业支出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26.56</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26.56</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20805</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行政事业单位离退休</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26.32</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26.32</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2080505</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机关事业单位基本养老保险缴费支出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19.72</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19.72</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2080506</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机关事业单位职业年金缴费支出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6.60</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6.60</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20827</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财政对其他社会保险基金的补助</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0.25</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0.25</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2082702</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财政对工伤保险基金的补助</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0.15</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0.15</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2082703</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财政对生育保险基金的补助</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0.10</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0.10</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卫生健康支出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21011</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行政事业单位医疗</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2101101</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行政单位医疗</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1.72</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1.72</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2101102</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事业单位医疗</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0.27</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0.27</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215</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资源勘探信息等支出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108.00</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108.00</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21505</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工业和信息产业监管</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102.00</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102.00</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2150510</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工业和信息产业支持</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102.00</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102.00</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21508</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支持中小企业发展和管理支出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6.00</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6.00</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2150805</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中小企业发展专项</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6.00</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6.00</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住房保障支出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22102</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住房改革支出</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1040"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2210201</w:t>
            </w:r>
          </w:p>
        </w:tc>
        <w:tc>
          <w:tcPr>
            <w:tcW w:w="386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131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31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3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80" w:hRule="atLeast"/>
        </w:trPr>
        <w:tc>
          <w:tcPr>
            <w:tcW w:w="8900" w:type="dxa"/>
            <w:gridSpan w:val="7"/>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注：本表反映部门本年度一般公共预算财政拨款支出情况。</w:t>
            </w:r>
          </w:p>
        </w:tc>
      </w:tr>
    </w:tbl>
    <w:p>
      <w:pPr>
        <w:rPr>
          <w:rFonts w:hint="eastAsia" w:ascii="宋体" w:hAnsi="宋体" w:eastAsia="宋体" w:cs="宋体"/>
        </w:rPr>
      </w:pPr>
      <w:r>
        <w:rPr>
          <w:rFonts w:hint="eastAsia" w:ascii="宋体" w:hAnsi="宋体" w:eastAsia="宋体" w:cs="宋体"/>
        </w:rPr>
        <w:br w:type="page"/>
      </w:r>
    </w:p>
    <w:tbl>
      <w:tblPr>
        <w:tblStyle w:val="8"/>
        <w:tblW w:w="8955" w:type="dxa"/>
        <w:tblInd w:w="91" w:type="dxa"/>
        <w:tblLayout w:type="fixed"/>
        <w:tblCellMar>
          <w:top w:w="0" w:type="dxa"/>
          <w:left w:w="108" w:type="dxa"/>
          <w:bottom w:w="0" w:type="dxa"/>
          <w:right w:w="108" w:type="dxa"/>
        </w:tblCellMar>
      </w:tblPr>
      <w:tblGrid>
        <w:gridCol w:w="666"/>
        <w:gridCol w:w="1751"/>
        <w:gridCol w:w="666"/>
        <w:gridCol w:w="666"/>
        <w:gridCol w:w="1179"/>
        <w:gridCol w:w="576"/>
        <w:gridCol w:w="666"/>
        <w:gridCol w:w="2209"/>
        <w:gridCol w:w="576"/>
      </w:tblGrid>
      <w:tr>
        <w:tblPrEx>
          <w:tblCellMar>
            <w:top w:w="0" w:type="dxa"/>
            <w:left w:w="108" w:type="dxa"/>
            <w:bottom w:w="0" w:type="dxa"/>
            <w:right w:w="108" w:type="dxa"/>
          </w:tblCellMar>
        </w:tblPrEx>
        <w:trPr>
          <w:trHeight w:val="1488" w:hRule="atLeast"/>
        </w:trPr>
        <w:tc>
          <w:tcPr>
            <w:tcW w:w="8955" w:type="dxa"/>
            <w:gridSpan w:val="9"/>
            <w:tcBorders>
              <w:top w:val="nil"/>
              <w:left w:val="nil"/>
              <w:bottom w:val="nil"/>
              <w:right w:val="nil"/>
            </w:tcBorders>
            <w:shd w:val="clear" w:color="000000" w:fill="FFFFFF"/>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32"/>
                <w:szCs w:val="32"/>
              </w:rPr>
              <w:t>一般公共预算财政拨款基本支出决算表</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18"/>
                <w:szCs w:val="18"/>
              </w:rPr>
              <w:t>公开06表</w:t>
            </w:r>
          </w:p>
        </w:tc>
      </w:tr>
      <w:tr>
        <w:tblPrEx>
          <w:tblCellMar>
            <w:top w:w="0" w:type="dxa"/>
            <w:left w:w="108" w:type="dxa"/>
            <w:bottom w:w="0" w:type="dxa"/>
            <w:right w:w="108" w:type="dxa"/>
          </w:tblCellMar>
        </w:tblPrEx>
        <w:trPr>
          <w:trHeight w:val="250" w:hRule="atLeast"/>
        </w:trPr>
        <w:tc>
          <w:tcPr>
            <w:tcW w:w="3083" w:type="dxa"/>
            <w:gridSpan w:val="3"/>
            <w:tcBorders>
              <w:top w:val="nil"/>
              <w:left w:val="nil"/>
              <w:bottom w:val="nil"/>
              <w:right w:val="nil"/>
            </w:tcBorders>
            <w:shd w:val="clear" w:color="000000" w:fill="FFFFFF"/>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部门：阜城县工业和信息化局</w:t>
            </w:r>
          </w:p>
        </w:tc>
        <w:tc>
          <w:tcPr>
            <w:tcW w:w="666" w:type="dxa"/>
            <w:tcBorders>
              <w:top w:val="nil"/>
              <w:left w:val="nil"/>
              <w:bottom w:val="nil"/>
              <w:right w:val="nil"/>
            </w:tcBorders>
            <w:shd w:val="clear" w:color="000000" w:fill="FFFFFF"/>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9" w:type="dxa"/>
            <w:tcBorders>
              <w:top w:val="nil"/>
              <w:left w:val="nil"/>
              <w:bottom w:val="nil"/>
              <w:right w:val="nil"/>
            </w:tcBorders>
            <w:shd w:val="clear" w:color="000000" w:fill="FFFFFF"/>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76" w:type="dxa"/>
            <w:tcBorders>
              <w:top w:val="nil"/>
              <w:left w:val="nil"/>
              <w:bottom w:val="nil"/>
              <w:right w:val="nil"/>
            </w:tcBorders>
            <w:shd w:val="clear" w:color="000000" w:fill="FFFFFF"/>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nil"/>
              <w:right w:val="nil"/>
            </w:tcBorders>
            <w:shd w:val="clear" w:color="000000" w:fill="FFFFFF"/>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85" w:type="dxa"/>
            <w:gridSpan w:val="2"/>
            <w:tcBorders>
              <w:top w:val="nil"/>
              <w:left w:val="nil"/>
              <w:bottom w:val="single" w:color="000000" w:sz="4" w:space="0"/>
              <w:right w:val="nil"/>
            </w:tcBorders>
            <w:shd w:val="clear" w:color="000000" w:fill="FFFFFF"/>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金额单位：万元</w:t>
            </w:r>
          </w:p>
        </w:tc>
      </w:tr>
      <w:tr>
        <w:tblPrEx>
          <w:tblCellMar>
            <w:top w:w="0" w:type="dxa"/>
            <w:left w:w="108" w:type="dxa"/>
            <w:bottom w:w="0" w:type="dxa"/>
            <w:right w:w="108" w:type="dxa"/>
          </w:tblCellMar>
        </w:tblPrEx>
        <w:trPr>
          <w:trHeight w:val="308" w:hRule="atLeast"/>
        </w:trPr>
        <w:tc>
          <w:tcPr>
            <w:tcW w:w="308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人员经费</w:t>
            </w:r>
          </w:p>
        </w:tc>
        <w:tc>
          <w:tcPr>
            <w:tcW w:w="5872"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公用经费</w:t>
            </w:r>
          </w:p>
        </w:tc>
      </w:tr>
      <w:tr>
        <w:tblPrEx>
          <w:tblCellMar>
            <w:top w:w="0" w:type="dxa"/>
            <w:left w:w="108" w:type="dxa"/>
            <w:bottom w:w="0" w:type="dxa"/>
            <w:right w:w="108" w:type="dxa"/>
          </w:tblCellMar>
        </w:tblPrEx>
        <w:trPr>
          <w:trHeight w:val="312" w:hRule="atLeast"/>
        </w:trPr>
        <w:tc>
          <w:tcPr>
            <w:tcW w:w="666"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175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6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决算数</w:t>
            </w:r>
          </w:p>
        </w:tc>
        <w:tc>
          <w:tcPr>
            <w:tcW w:w="6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117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5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决算数</w:t>
            </w:r>
          </w:p>
        </w:tc>
        <w:tc>
          <w:tcPr>
            <w:tcW w:w="6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220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5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决算数</w:t>
            </w:r>
          </w:p>
        </w:tc>
      </w:tr>
      <w:tr>
        <w:tblPrEx>
          <w:tblCellMar>
            <w:top w:w="0" w:type="dxa"/>
            <w:left w:w="108" w:type="dxa"/>
            <w:bottom w:w="0" w:type="dxa"/>
            <w:right w:w="108" w:type="dxa"/>
          </w:tblCellMar>
        </w:tblPrEx>
        <w:trPr>
          <w:trHeight w:val="312" w:hRule="atLeast"/>
        </w:trPr>
        <w:tc>
          <w:tcPr>
            <w:tcW w:w="666"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751"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6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6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1179"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57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66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2209"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c>
          <w:tcPr>
            <w:tcW w:w="57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75.69</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6.54</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307</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债务利息及费用支出</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30101</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26.18</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30201</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办公费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1.57</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30701</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国内债务付息</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30102</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津贴补贴</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7.68</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30202</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印刷费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0.41</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30702</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国外债务付息</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30103</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奖金</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1.75</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30203</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咨询费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资本性支出</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30106</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伙食补助费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30204</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手续费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31001</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房屋建筑物购建</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30107</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绩效工资</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1.27</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30205</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水费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31002</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办公设备购置</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30108</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机关事业单位基本养老保险缴费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19.72</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30206</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电费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0.12</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31003</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专用设备购置</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30109</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职业年金缴费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6.60</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30207</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邮电费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31005</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基础设施建设</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30110</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职工基本医疗保险缴费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0.27</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30208</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取暖费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31006</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大型修缮</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30111</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公务员医疗补助缴费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1.72</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30209</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物业管理费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31007</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信息网络及软件购置更新</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30112</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其他社会保障缴费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0.25</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30211</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差旅费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31008</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物资储备</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30113</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30212</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因公出国（境）费用</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31009</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土地补偿</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30114</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医疗费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30213</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维修（护）费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31010</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安置补助</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30199</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其他工资福利支出</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6.39</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30214</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租赁费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31011</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地上附着物和青苗补偿</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对个人和家庭的补助</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30215</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会议费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31012</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拆迁补偿</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30301</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离休费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30216</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31013</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公务用车购置</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30302</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退休费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公务接待费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31019</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其他交通工具购置</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30303</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退职（役）费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30218</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专用材料费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31021</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文物和陈列品购置</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30304</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抚恤金</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30224</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被装购置费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31022</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无形资产购置</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30305</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生活补助</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30225</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专用燃料费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31099</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其他资本性支出</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30306</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救济费</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30226</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劳务费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399</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30307</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医疗费补助</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30227</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委托业务费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39906</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赠与</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30308</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助学金</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30228</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工会经费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0.43</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39907</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国家赔偿费用支出</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30309</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奖励金</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30229</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福利费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0.51</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39908</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对民间非营利组织和群众性自治组织补贴</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30310</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个人农业生产补贴</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30231</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公务用车运行维护费</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39999</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其他支出</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30399</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其他对个人和家庭的补助</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30239</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其他交通费用</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3.50</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30240</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税金及附加费用</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666"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51"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30299</w:t>
            </w:r>
          </w:p>
        </w:tc>
        <w:tc>
          <w:tcPr>
            <w:tcW w:w="117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其他商品和服务支出</w:t>
            </w:r>
          </w:p>
        </w:tc>
        <w:tc>
          <w:tcPr>
            <w:tcW w:w="57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09" w:type="dxa"/>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250" w:hRule="atLeast"/>
        </w:trPr>
        <w:tc>
          <w:tcPr>
            <w:tcW w:w="2417"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人员经费合计</w:t>
            </w:r>
          </w:p>
        </w:tc>
        <w:tc>
          <w:tcPr>
            <w:tcW w:w="6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75.69</w:t>
            </w:r>
          </w:p>
        </w:tc>
        <w:tc>
          <w:tcPr>
            <w:tcW w:w="5296" w:type="dxa"/>
            <w:gridSpan w:val="5"/>
            <w:tcBorders>
              <w:top w:val="nil"/>
              <w:left w:val="nil"/>
              <w:bottom w:val="single" w:color="000000" w:sz="4" w:space="0"/>
              <w:right w:val="single" w:color="000000" w:sz="4" w:space="0"/>
            </w:tcBorders>
            <w:shd w:val="clear" w:color="FFFFFF"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公用经费合计</w:t>
            </w:r>
          </w:p>
        </w:tc>
        <w:tc>
          <w:tcPr>
            <w:tcW w:w="576" w:type="dxa"/>
            <w:tcBorders>
              <w:top w:val="nil"/>
              <w:left w:val="nil"/>
              <w:bottom w:val="single" w:color="000000" w:sz="4" w:space="0"/>
              <w:right w:val="single" w:color="000000" w:sz="4" w:space="0"/>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6.54</w:t>
            </w:r>
          </w:p>
        </w:tc>
      </w:tr>
      <w:tr>
        <w:tblPrEx>
          <w:tblCellMar>
            <w:top w:w="0" w:type="dxa"/>
            <w:left w:w="108" w:type="dxa"/>
            <w:bottom w:w="0" w:type="dxa"/>
            <w:right w:w="108" w:type="dxa"/>
          </w:tblCellMar>
        </w:tblPrEx>
        <w:trPr>
          <w:trHeight w:val="250" w:hRule="atLeast"/>
        </w:trPr>
        <w:tc>
          <w:tcPr>
            <w:tcW w:w="8955" w:type="dxa"/>
            <w:gridSpan w:val="9"/>
            <w:tcBorders>
              <w:top w:val="nil"/>
              <w:left w:val="nil"/>
              <w:bottom w:val="nil"/>
              <w:right w:val="nil"/>
            </w:tcBorders>
            <w:shd w:val="clear" w:color="000000"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注：本表反映部门本年度一般公共预算财政拨款基本支出明细情况。</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tbl>
      <w:tblPr>
        <w:tblStyle w:val="8"/>
        <w:tblW w:w="7080" w:type="dxa"/>
        <w:tblInd w:w="91" w:type="dxa"/>
        <w:tblLayout w:type="fixed"/>
        <w:tblCellMar>
          <w:top w:w="0" w:type="dxa"/>
          <w:left w:w="108" w:type="dxa"/>
          <w:bottom w:w="0" w:type="dxa"/>
          <w:right w:w="108" w:type="dxa"/>
        </w:tblCellMar>
      </w:tblPr>
      <w:tblGrid>
        <w:gridCol w:w="1240"/>
        <w:gridCol w:w="1200"/>
        <w:gridCol w:w="1480"/>
        <w:gridCol w:w="940"/>
        <w:gridCol w:w="960"/>
        <w:gridCol w:w="1260"/>
      </w:tblGrid>
      <w:tr>
        <w:tblPrEx>
          <w:tblCellMar>
            <w:top w:w="0" w:type="dxa"/>
            <w:left w:w="108" w:type="dxa"/>
            <w:bottom w:w="0" w:type="dxa"/>
            <w:right w:w="108" w:type="dxa"/>
          </w:tblCellMar>
        </w:tblPrEx>
        <w:trPr>
          <w:trHeight w:val="420" w:hRule="atLeast"/>
        </w:trPr>
        <w:tc>
          <w:tcPr>
            <w:tcW w:w="7080" w:type="dxa"/>
            <w:gridSpan w:val="6"/>
            <w:tcBorders>
              <w:top w:val="nil"/>
              <w:left w:val="nil"/>
              <w:bottom w:val="nil"/>
              <w:right w:val="nil"/>
            </w:tcBorders>
            <w:shd w:val="clear" w:color="000000" w:fill="FFFFFF"/>
            <w:vAlign w:val="bottom"/>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一般公共预算财政拨款“三公”经费支出决算表</w:t>
            </w:r>
          </w:p>
        </w:tc>
      </w:tr>
      <w:tr>
        <w:tblPrEx>
          <w:tblCellMar>
            <w:top w:w="0" w:type="dxa"/>
            <w:left w:w="108" w:type="dxa"/>
            <w:bottom w:w="0" w:type="dxa"/>
            <w:right w:w="108" w:type="dxa"/>
          </w:tblCellMar>
        </w:tblPrEx>
        <w:trPr>
          <w:trHeight w:val="430" w:hRule="atLeast"/>
        </w:trPr>
        <w:tc>
          <w:tcPr>
            <w:tcW w:w="124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0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16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公开07表</w:t>
            </w:r>
          </w:p>
        </w:tc>
      </w:tr>
      <w:tr>
        <w:tblPrEx>
          <w:tblCellMar>
            <w:top w:w="0" w:type="dxa"/>
            <w:left w:w="108" w:type="dxa"/>
            <w:bottom w:w="0" w:type="dxa"/>
            <w:right w:w="108" w:type="dxa"/>
          </w:tblCellMar>
        </w:tblPrEx>
        <w:trPr>
          <w:trHeight w:val="260" w:hRule="atLeast"/>
        </w:trPr>
        <w:tc>
          <w:tcPr>
            <w:tcW w:w="3920" w:type="dxa"/>
            <w:gridSpan w:val="3"/>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部门：阜城县工业和信息化局</w:t>
            </w:r>
          </w:p>
        </w:tc>
        <w:tc>
          <w:tcPr>
            <w:tcW w:w="3160" w:type="dxa"/>
            <w:gridSpan w:val="3"/>
            <w:tcBorders>
              <w:top w:val="nil"/>
              <w:left w:val="nil"/>
              <w:bottom w:val="single" w:color="000000" w:sz="4" w:space="0"/>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金额单位：万元</w:t>
            </w:r>
          </w:p>
        </w:tc>
      </w:tr>
      <w:tr>
        <w:tblPrEx>
          <w:tblCellMar>
            <w:top w:w="0" w:type="dxa"/>
            <w:left w:w="108" w:type="dxa"/>
            <w:bottom w:w="0" w:type="dxa"/>
            <w:right w:w="108" w:type="dxa"/>
          </w:tblCellMar>
        </w:tblPrEx>
        <w:trPr>
          <w:trHeight w:val="308" w:hRule="atLeast"/>
        </w:trPr>
        <w:tc>
          <w:tcPr>
            <w:tcW w:w="708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预算数</w:t>
            </w:r>
          </w:p>
        </w:tc>
      </w:tr>
      <w:tr>
        <w:tblPrEx>
          <w:tblCellMar>
            <w:top w:w="0" w:type="dxa"/>
            <w:left w:w="108" w:type="dxa"/>
            <w:bottom w:w="0" w:type="dxa"/>
            <w:right w:w="108" w:type="dxa"/>
          </w:tblCellMar>
        </w:tblPrEx>
        <w:trPr>
          <w:trHeight w:val="308" w:hRule="atLeast"/>
        </w:trPr>
        <w:tc>
          <w:tcPr>
            <w:tcW w:w="124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12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因公出国（境）费</w:t>
            </w:r>
          </w:p>
        </w:tc>
        <w:tc>
          <w:tcPr>
            <w:tcW w:w="338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公务用车购置及运行费</w:t>
            </w:r>
          </w:p>
        </w:tc>
        <w:tc>
          <w:tcPr>
            <w:tcW w:w="12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1240"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20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4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小计</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公务用车购置费</w:t>
            </w:r>
          </w:p>
        </w:tc>
        <w:tc>
          <w:tcPr>
            <w:tcW w:w="96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公务用车运行费</w:t>
            </w:r>
          </w:p>
        </w:tc>
        <w:tc>
          <w:tcPr>
            <w:tcW w:w="126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08" w:hRule="atLeast"/>
        </w:trPr>
        <w:tc>
          <w:tcPr>
            <w:tcW w:w="1240"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2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4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96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126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308" w:hRule="atLeast"/>
        </w:trPr>
        <w:tc>
          <w:tcPr>
            <w:tcW w:w="1240" w:type="dxa"/>
            <w:tcBorders>
              <w:top w:val="nil"/>
              <w:left w:val="single" w:color="000000" w:sz="4" w:space="0"/>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3.00</w:t>
            </w:r>
          </w:p>
        </w:tc>
        <w:tc>
          <w:tcPr>
            <w:tcW w:w="12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4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2.50</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2.50</w:t>
            </w:r>
          </w:p>
        </w:tc>
        <w:tc>
          <w:tcPr>
            <w:tcW w:w="12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0.50</w:t>
            </w:r>
          </w:p>
        </w:tc>
      </w:tr>
      <w:tr>
        <w:tblPrEx>
          <w:tblCellMar>
            <w:top w:w="0" w:type="dxa"/>
            <w:left w:w="108" w:type="dxa"/>
            <w:bottom w:w="0" w:type="dxa"/>
            <w:right w:w="108" w:type="dxa"/>
          </w:tblCellMar>
        </w:tblPrEx>
        <w:trPr>
          <w:trHeight w:val="615" w:hRule="atLeast"/>
        </w:trPr>
        <w:tc>
          <w:tcPr>
            <w:tcW w:w="708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决算数</w:t>
            </w:r>
          </w:p>
        </w:tc>
      </w:tr>
      <w:tr>
        <w:tblPrEx>
          <w:tblCellMar>
            <w:top w:w="0" w:type="dxa"/>
            <w:left w:w="108" w:type="dxa"/>
            <w:bottom w:w="0" w:type="dxa"/>
            <w:right w:w="108" w:type="dxa"/>
          </w:tblCellMar>
        </w:tblPrEx>
        <w:trPr>
          <w:trHeight w:val="250" w:hRule="atLeast"/>
        </w:trPr>
        <w:tc>
          <w:tcPr>
            <w:tcW w:w="124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12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因公出国（境）费</w:t>
            </w:r>
          </w:p>
        </w:tc>
        <w:tc>
          <w:tcPr>
            <w:tcW w:w="338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公务用车购置及运行费</w:t>
            </w:r>
          </w:p>
        </w:tc>
        <w:tc>
          <w:tcPr>
            <w:tcW w:w="12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公务接待费</w:t>
            </w:r>
          </w:p>
        </w:tc>
      </w:tr>
      <w:tr>
        <w:tblPrEx>
          <w:tblCellMar>
            <w:top w:w="0" w:type="dxa"/>
            <w:left w:w="108" w:type="dxa"/>
            <w:bottom w:w="0" w:type="dxa"/>
            <w:right w:w="108" w:type="dxa"/>
          </w:tblCellMar>
        </w:tblPrEx>
        <w:trPr>
          <w:trHeight w:val="840" w:hRule="atLeast"/>
        </w:trPr>
        <w:tc>
          <w:tcPr>
            <w:tcW w:w="124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p>
        </w:tc>
        <w:tc>
          <w:tcPr>
            <w:tcW w:w="120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4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小计</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公务用车购置费</w:t>
            </w:r>
          </w:p>
        </w:tc>
        <w:tc>
          <w:tcPr>
            <w:tcW w:w="96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公务用车运行费</w:t>
            </w:r>
          </w:p>
        </w:tc>
        <w:tc>
          <w:tcPr>
            <w:tcW w:w="1260"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280" w:hRule="atLeast"/>
        </w:trPr>
        <w:tc>
          <w:tcPr>
            <w:tcW w:w="1240"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7</w:t>
            </w:r>
          </w:p>
        </w:tc>
        <w:tc>
          <w:tcPr>
            <w:tcW w:w="120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8</w:t>
            </w:r>
          </w:p>
        </w:tc>
        <w:tc>
          <w:tcPr>
            <w:tcW w:w="14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9</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10</w:t>
            </w:r>
          </w:p>
        </w:tc>
        <w:tc>
          <w:tcPr>
            <w:tcW w:w="96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11</w:t>
            </w:r>
          </w:p>
        </w:tc>
        <w:tc>
          <w:tcPr>
            <w:tcW w:w="126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12</w:t>
            </w:r>
          </w:p>
        </w:tc>
      </w:tr>
      <w:tr>
        <w:tblPrEx>
          <w:tblCellMar>
            <w:top w:w="0" w:type="dxa"/>
            <w:left w:w="108" w:type="dxa"/>
            <w:bottom w:w="0" w:type="dxa"/>
            <w:right w:w="108" w:type="dxa"/>
          </w:tblCellMar>
        </w:tblPrEx>
        <w:trPr>
          <w:trHeight w:val="280" w:hRule="atLeast"/>
        </w:trPr>
        <w:tc>
          <w:tcPr>
            <w:tcW w:w="1240" w:type="dxa"/>
            <w:tcBorders>
              <w:top w:val="nil"/>
              <w:left w:val="single" w:color="auto" w:sz="4" w:space="0"/>
              <w:bottom w:val="single" w:color="auto" w:sz="4" w:space="0"/>
              <w:right w:val="single" w:color="auto"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2.38</w:t>
            </w:r>
          </w:p>
        </w:tc>
        <w:tc>
          <w:tcPr>
            <w:tcW w:w="120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4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2.15</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2.15</w:t>
            </w:r>
          </w:p>
        </w:tc>
        <w:tc>
          <w:tcPr>
            <w:tcW w:w="126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0.23</w:t>
            </w:r>
          </w:p>
        </w:tc>
      </w:tr>
      <w:tr>
        <w:tblPrEx>
          <w:tblCellMar>
            <w:top w:w="0" w:type="dxa"/>
            <w:left w:w="108" w:type="dxa"/>
            <w:bottom w:w="0" w:type="dxa"/>
            <w:right w:w="108" w:type="dxa"/>
          </w:tblCellMar>
        </w:tblPrEx>
        <w:trPr>
          <w:trHeight w:val="1420" w:hRule="atLeast"/>
        </w:trPr>
        <w:tc>
          <w:tcPr>
            <w:tcW w:w="7080" w:type="dxa"/>
            <w:gridSpan w:val="6"/>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ascii="宋体" w:hAnsi="宋体" w:eastAsia="宋体" w:cs="宋体"/>
        </w:rPr>
      </w:pPr>
      <w:r>
        <w:rPr>
          <w:rFonts w:hint="eastAsia" w:ascii="宋体" w:hAnsi="宋体" w:eastAsia="宋体" w:cs="宋体"/>
        </w:rPr>
        <w:br w:type="page"/>
      </w:r>
    </w:p>
    <w:tbl>
      <w:tblPr>
        <w:tblStyle w:val="8"/>
        <w:tblW w:w="10584" w:type="dxa"/>
        <w:tblInd w:w="-739" w:type="dxa"/>
        <w:tblLayout w:type="fixed"/>
        <w:tblCellMar>
          <w:top w:w="0" w:type="dxa"/>
          <w:left w:w="108" w:type="dxa"/>
          <w:bottom w:w="0" w:type="dxa"/>
          <w:right w:w="108" w:type="dxa"/>
        </w:tblCellMar>
      </w:tblPr>
      <w:tblGrid>
        <w:gridCol w:w="222"/>
        <w:gridCol w:w="222"/>
        <w:gridCol w:w="222"/>
        <w:gridCol w:w="2329"/>
        <w:gridCol w:w="989"/>
        <w:gridCol w:w="958"/>
        <w:gridCol w:w="1068"/>
        <w:gridCol w:w="1195"/>
        <w:gridCol w:w="1116"/>
        <w:gridCol w:w="2263"/>
      </w:tblGrid>
      <w:tr>
        <w:tblPrEx>
          <w:tblCellMar>
            <w:top w:w="0" w:type="dxa"/>
            <w:left w:w="108" w:type="dxa"/>
            <w:bottom w:w="0" w:type="dxa"/>
            <w:right w:w="108" w:type="dxa"/>
          </w:tblCellMar>
        </w:tblPrEx>
        <w:trPr>
          <w:trHeight w:val="370" w:hRule="atLeast"/>
        </w:trPr>
        <w:tc>
          <w:tcPr>
            <w:tcW w:w="10584" w:type="dxa"/>
            <w:gridSpan w:val="10"/>
            <w:tcBorders>
              <w:top w:val="nil"/>
              <w:left w:val="nil"/>
              <w:bottom w:val="nil"/>
              <w:right w:val="nil"/>
            </w:tcBorders>
            <w:shd w:val="clear" w:color="000000" w:fill="FFFFFF"/>
            <w:vAlign w:val="bottom"/>
          </w:tcPr>
          <w:p>
            <w:pPr>
              <w:widowControl/>
              <w:jc w:val="center"/>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60" w:hRule="atLeast"/>
        </w:trPr>
        <w:tc>
          <w:tcPr>
            <w:tcW w:w="222"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22"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22"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329"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89"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58"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8"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95"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16"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263" w:type="dxa"/>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公开08表</w:t>
            </w:r>
          </w:p>
        </w:tc>
      </w:tr>
      <w:tr>
        <w:tblPrEx>
          <w:tblCellMar>
            <w:top w:w="0" w:type="dxa"/>
            <w:left w:w="108" w:type="dxa"/>
            <w:bottom w:w="0" w:type="dxa"/>
            <w:right w:w="108" w:type="dxa"/>
          </w:tblCellMar>
        </w:tblPrEx>
        <w:trPr>
          <w:trHeight w:val="260" w:hRule="atLeast"/>
        </w:trPr>
        <w:tc>
          <w:tcPr>
            <w:tcW w:w="2995" w:type="dxa"/>
            <w:gridSpan w:val="4"/>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部门：阜城县工业和信息化局</w:t>
            </w:r>
          </w:p>
        </w:tc>
        <w:tc>
          <w:tcPr>
            <w:tcW w:w="989"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58"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8"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95"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16"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263" w:type="dxa"/>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995"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项目</w:t>
            </w:r>
          </w:p>
        </w:tc>
        <w:tc>
          <w:tcPr>
            <w:tcW w:w="98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年初结转和结余</w:t>
            </w:r>
          </w:p>
        </w:tc>
        <w:tc>
          <w:tcPr>
            <w:tcW w:w="95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本年收入</w:t>
            </w:r>
          </w:p>
        </w:tc>
        <w:tc>
          <w:tcPr>
            <w:tcW w:w="3379"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本年支出</w:t>
            </w:r>
          </w:p>
        </w:tc>
        <w:tc>
          <w:tcPr>
            <w:tcW w:w="226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年末结转和结余</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功能分类科目编码</w:t>
            </w:r>
          </w:p>
        </w:tc>
        <w:tc>
          <w:tcPr>
            <w:tcW w:w="232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科目名称</w:t>
            </w:r>
          </w:p>
        </w:tc>
        <w:tc>
          <w:tcPr>
            <w:tcW w:w="989"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958"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06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小计</w:t>
            </w:r>
          </w:p>
        </w:tc>
        <w:tc>
          <w:tcPr>
            <w:tcW w:w="119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基本支出</w:t>
            </w:r>
          </w:p>
        </w:tc>
        <w:tc>
          <w:tcPr>
            <w:tcW w:w="111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项目支出</w:t>
            </w:r>
          </w:p>
        </w:tc>
        <w:tc>
          <w:tcPr>
            <w:tcW w:w="2263"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2329"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989"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958"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068"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195"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11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2263"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2329"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989"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958"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068"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195"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1116" w:type="dxa"/>
            <w:vMerge w:val="continue"/>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c>
          <w:tcPr>
            <w:tcW w:w="2263"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08" w:hRule="atLeast"/>
        </w:trPr>
        <w:tc>
          <w:tcPr>
            <w:tcW w:w="2995"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栏次</w:t>
            </w:r>
          </w:p>
        </w:tc>
        <w:tc>
          <w:tcPr>
            <w:tcW w:w="989"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958"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c>
          <w:tcPr>
            <w:tcW w:w="1068"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c>
          <w:tcPr>
            <w:tcW w:w="1195"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1116"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5</w:t>
            </w:r>
          </w:p>
        </w:tc>
        <w:tc>
          <w:tcPr>
            <w:tcW w:w="2263"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308" w:hRule="atLeast"/>
        </w:trPr>
        <w:tc>
          <w:tcPr>
            <w:tcW w:w="2995"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98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5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6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95"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16"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26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32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16"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32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16"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32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16"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32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16"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32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16"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329"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89"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5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68"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95"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116"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226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8" w:hRule="atLeast"/>
        </w:trPr>
        <w:tc>
          <w:tcPr>
            <w:tcW w:w="10584" w:type="dxa"/>
            <w:gridSpan w:val="10"/>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注：本表反映部门本年度政府性基金预算财政拨款收入、支出及结转和结余情况。本部门本年度无收支及结转结余情况，按要求以空表列示。</w:t>
            </w:r>
          </w:p>
        </w:tc>
      </w:tr>
    </w:tbl>
    <w:p>
      <w:pPr>
        <w:rPr>
          <w:rFonts w:hint="eastAsia" w:ascii="宋体" w:hAnsi="宋体" w:eastAsia="宋体" w:cs="宋体"/>
        </w:rPr>
      </w:pPr>
      <w:r>
        <w:rPr>
          <w:rFonts w:hint="eastAsia" w:ascii="宋体" w:hAnsi="宋体" w:eastAsia="宋体" w:cs="宋体"/>
        </w:rPr>
        <w:br w:type="page"/>
      </w:r>
    </w:p>
    <w:tbl>
      <w:tblPr>
        <w:tblStyle w:val="8"/>
        <w:tblW w:w="8168" w:type="dxa"/>
        <w:tblInd w:w="91" w:type="dxa"/>
        <w:tblLayout w:type="fixed"/>
        <w:tblCellMar>
          <w:top w:w="0" w:type="dxa"/>
          <w:left w:w="108" w:type="dxa"/>
          <w:bottom w:w="0" w:type="dxa"/>
          <w:right w:w="108" w:type="dxa"/>
        </w:tblCellMar>
      </w:tblPr>
      <w:tblGrid>
        <w:gridCol w:w="222"/>
        <w:gridCol w:w="222"/>
        <w:gridCol w:w="222"/>
        <w:gridCol w:w="2667"/>
        <w:gridCol w:w="780"/>
        <w:gridCol w:w="1493"/>
        <w:gridCol w:w="2562"/>
      </w:tblGrid>
      <w:tr>
        <w:tblPrEx>
          <w:tblCellMar>
            <w:top w:w="0" w:type="dxa"/>
            <w:left w:w="108" w:type="dxa"/>
            <w:bottom w:w="0" w:type="dxa"/>
            <w:right w:w="108" w:type="dxa"/>
          </w:tblCellMar>
        </w:tblPrEx>
        <w:trPr>
          <w:trHeight w:val="250" w:hRule="atLeast"/>
        </w:trPr>
        <w:tc>
          <w:tcPr>
            <w:tcW w:w="8168" w:type="dxa"/>
            <w:gridSpan w:val="7"/>
            <w:tcBorders>
              <w:top w:val="nil"/>
              <w:left w:val="nil"/>
              <w:bottom w:val="nil"/>
              <w:right w:val="nil"/>
            </w:tcBorders>
            <w:shd w:val="clear" w:color="000000" w:fill="FFFFFF"/>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国有资本经营预算财政拨款支出决算表</w:t>
            </w:r>
          </w:p>
        </w:tc>
      </w:tr>
      <w:tr>
        <w:tblPrEx>
          <w:tblCellMar>
            <w:top w:w="0" w:type="dxa"/>
            <w:left w:w="108" w:type="dxa"/>
            <w:bottom w:w="0" w:type="dxa"/>
            <w:right w:w="108" w:type="dxa"/>
          </w:tblCellMar>
        </w:tblPrEx>
        <w:trPr>
          <w:trHeight w:val="250" w:hRule="atLeast"/>
        </w:trPr>
        <w:tc>
          <w:tcPr>
            <w:tcW w:w="222"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2"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22"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67"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93"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2" w:type="dxa"/>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公开09表</w:t>
            </w:r>
          </w:p>
        </w:tc>
      </w:tr>
      <w:tr>
        <w:tblPrEx>
          <w:tblCellMar>
            <w:top w:w="0" w:type="dxa"/>
            <w:left w:w="108" w:type="dxa"/>
            <w:bottom w:w="0" w:type="dxa"/>
            <w:right w:w="108" w:type="dxa"/>
          </w:tblCellMar>
        </w:tblPrEx>
        <w:trPr>
          <w:trHeight w:val="250" w:hRule="atLeast"/>
        </w:trPr>
        <w:tc>
          <w:tcPr>
            <w:tcW w:w="3333" w:type="dxa"/>
            <w:gridSpan w:val="4"/>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部门：阜城县工业和信息化局</w:t>
            </w:r>
          </w:p>
        </w:tc>
        <w:tc>
          <w:tcPr>
            <w:tcW w:w="780"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93" w:type="dxa"/>
            <w:tcBorders>
              <w:top w:val="nil"/>
              <w:left w:val="nil"/>
              <w:bottom w:val="nil"/>
              <w:right w:val="nil"/>
            </w:tcBorders>
            <w:shd w:val="clear" w:color="000000" w:fill="FFFFFF"/>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2" w:type="dxa"/>
            <w:tcBorders>
              <w:top w:val="nil"/>
              <w:left w:val="nil"/>
              <w:bottom w:val="nil"/>
              <w:right w:val="nil"/>
            </w:tcBorders>
            <w:shd w:val="clear" w:color="000000" w:fill="FFFFFF"/>
            <w:vAlign w:val="bottom"/>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3333"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w:t>
            </w:r>
          </w:p>
        </w:tc>
        <w:tc>
          <w:tcPr>
            <w:tcW w:w="4835"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本年支出</w:t>
            </w:r>
          </w:p>
        </w:tc>
      </w:tr>
      <w:tr>
        <w:tblPrEx>
          <w:tblCellMar>
            <w:top w:w="0" w:type="dxa"/>
            <w:left w:w="108" w:type="dxa"/>
            <w:bottom w:w="0" w:type="dxa"/>
            <w:right w:w="108" w:type="dxa"/>
          </w:tblCellMar>
        </w:tblPrEx>
        <w:trPr>
          <w:trHeight w:val="615" w:hRule="atLeast"/>
        </w:trPr>
        <w:tc>
          <w:tcPr>
            <w:tcW w:w="666" w:type="dxa"/>
            <w:gridSpan w:val="3"/>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功能分类科目编码</w:t>
            </w:r>
          </w:p>
        </w:tc>
        <w:tc>
          <w:tcPr>
            <w:tcW w:w="2667"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小计</w:t>
            </w:r>
          </w:p>
        </w:tc>
        <w:tc>
          <w:tcPr>
            <w:tcW w:w="1493"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基本支出</w:t>
            </w:r>
          </w:p>
        </w:tc>
        <w:tc>
          <w:tcPr>
            <w:tcW w:w="2562"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项目支出</w:t>
            </w:r>
          </w:p>
        </w:tc>
      </w:tr>
      <w:tr>
        <w:tblPrEx>
          <w:tblCellMar>
            <w:top w:w="0" w:type="dxa"/>
            <w:left w:w="108" w:type="dxa"/>
            <w:bottom w:w="0" w:type="dxa"/>
            <w:right w:w="108" w:type="dxa"/>
          </w:tblCellMar>
        </w:tblPrEx>
        <w:trPr>
          <w:trHeight w:val="308" w:hRule="atLeast"/>
        </w:trPr>
        <w:tc>
          <w:tcPr>
            <w:tcW w:w="333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493"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562" w:type="dxa"/>
            <w:tcBorders>
              <w:top w:val="nil"/>
              <w:left w:val="nil"/>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r>
      <w:tr>
        <w:tblPrEx>
          <w:tblCellMar>
            <w:top w:w="0" w:type="dxa"/>
            <w:left w:w="108" w:type="dxa"/>
            <w:bottom w:w="0" w:type="dxa"/>
            <w:right w:w="108" w:type="dxa"/>
          </w:tblCellMar>
        </w:tblPrEx>
        <w:trPr>
          <w:trHeight w:val="308" w:hRule="atLeast"/>
        </w:trPr>
        <w:tc>
          <w:tcPr>
            <w:tcW w:w="333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49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256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67"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9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67"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9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67"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9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67"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9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67"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9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667"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80"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93"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562" w:type="dxa"/>
            <w:tcBorders>
              <w:top w:val="nil"/>
              <w:left w:val="nil"/>
              <w:bottom w:val="single" w:color="000000" w:sz="4" w:space="0"/>
              <w:right w:val="single" w:color="000000" w:sz="4" w:space="0"/>
            </w:tcBorders>
            <w:shd w:val="clear" w:color="000000" w:fill="FFFFFF"/>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8168" w:type="dxa"/>
            <w:gridSpan w:val="7"/>
            <w:tcBorders>
              <w:top w:val="nil"/>
              <w:left w:val="nil"/>
              <w:bottom w:val="nil"/>
              <w:right w:val="nil"/>
            </w:tcBorders>
            <w:shd w:val="clear" w:color="000000" w:fill="FFFFFF"/>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注：本表反映部门本年度国有资本经营预算财政拨款支出情况。本部门本年度无相关支出情况，按要求以空表列示。</w:t>
            </w:r>
          </w:p>
        </w:tc>
      </w:tr>
    </w:tbl>
    <w:p>
      <w:pPr>
        <w:rPr>
          <w:rFonts w:hint="eastAsia" w:ascii="宋体" w:hAnsi="宋体" w:eastAsia="宋体" w:cs="宋体"/>
        </w:rPr>
      </w:pPr>
    </w:p>
    <w:sectPr>
      <w:headerReference r:id="rId31" w:type="first"/>
      <w:headerReference r:id="rId30" w:type="default"/>
      <w:footerReference r:id="rId32"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swiss"/>
    <w:pitch w:val="default"/>
    <w:sig w:usb0="00000000" w:usb1="00000000" w:usb2="00000000" w:usb3="00000000" w:csb0="00000000" w:csb1="00000000"/>
  </w:font>
  <w:font w:name="仿宋_GB2312">
    <w:altName w:val="仿宋"/>
    <w:panose1 w:val="02010609030101010101"/>
    <w:charset w:val="86"/>
    <w:family w:val="decorative"/>
    <w:pitch w:val="default"/>
    <w:sig w:usb0="00000000" w:usb1="00000000" w:usb2="00000000" w:usb3="00000000" w:csb0="00000000" w:csb1="00000000"/>
  </w:font>
  <w:font w:name="Yu Gothic UI Semibold">
    <w:altName w:val="Meiryo"/>
    <w:panose1 w:val="00000000000000000000"/>
    <w:charset w:val="80"/>
    <w:family w:val="roman"/>
    <w:pitch w:val="default"/>
    <w:sig w:usb0="00000000" w:usb1="00000000" w:usb2="00000016" w:usb3="00000000" w:csb0="2002009F" w:csb1="00000000"/>
  </w:font>
  <w:font w:name="微软雅黑">
    <w:panose1 w:val="020B0503020204020204"/>
    <w:charset w:val="86"/>
    <w:family w:val="roman"/>
    <w:pitch w:val="default"/>
    <w:sig w:usb0="80000287" w:usb1="280F3C52" w:usb2="00000016" w:usb3="00000000" w:csb0="0004001F" w:csb1="00000000"/>
  </w:font>
  <w:font w:name="思源黑体 HW Bold">
    <w:altName w:val="黑体"/>
    <w:panose1 w:val="00000000000000000000"/>
    <w:charset w:val="86"/>
    <w:family w:val="roman"/>
    <w:pitch w:val="default"/>
    <w:sig w:usb0="00000000" w:usb1="00000000" w:usb2="00000016" w:usb3="00000000" w:csb0="002E0107" w:csb1="00000000"/>
  </w:font>
  <w:font w:name="等线">
    <w:altName w:val="微软雅黑"/>
    <w:panose1 w:val="00000000000000000000"/>
    <w:charset w:val="00"/>
    <w:family w:val="auto"/>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95" o:spid="_x0000_s2095"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- 7 -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4" o:spid="_x0000_s2064"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- 29 -</w:t>
                </w:r>
                <w:r>
                  <w:rPr>
                    <w:rFonts w:ascii="Times New Roman" w:hAnsi="Times New Roman" w:cs="Times New Roman"/>
                    <w:sz w:val="24"/>
                    <w:szCs w:val="24"/>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72" o:spid="_x0000_s2072"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- 24 -</w:t>
                </w:r>
                <w:r>
                  <w:rPr>
                    <w:rFonts w:ascii="Times New Roman" w:hAnsi="Times New Roman" w:cs="Times New Roman"/>
                    <w:sz w:val="24"/>
                    <w:szCs w:val="24"/>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- 36 -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87" o:spid="_x0000_s2087"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- 23 -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100" o:spid="_x0000_s2100" o:spt="203" style="position:absolute;left:0pt;margin-top:29.75pt;height:32pt;width:157.5pt;mso-position-horizontal:left;mso-position-horizontal-relative:page;mso-position-vertical-relative:page;z-index:251659264;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02"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1"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96" o:spid="_x0000_s2096" o:spt="203" style="position:absolute;left:0pt;margin-left:0pt;margin-top:0pt;height:58.95pt;width:596.5pt;mso-position-horizontal-relative:page;mso-position-vertical-relative:page;z-index:251658240;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099"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91" o:spid="_x0000_s2091" o:spt="203" style="position:absolute;left:0pt;margin-left:0pt;margin-top:53.75pt;height:31.5pt;width:594.8pt;mso-position-horizontal-relative:page;mso-position-vertical-relative:page;z-index:25188556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4"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3"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2"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88" o:spid="_x0000_s2088" o:spt="203" style="position:absolute;left:0pt;margin-left:-2.15pt;margin-top:47.15pt;height:32pt;width:235.7pt;mso-position-horizontal-relative:page;mso-position-vertical-relative:page;z-index:25188659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文本框 6" o:spid="_x0000_s2090"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89"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3" o:spid="_x0000_s2083" o:spt="203" style="position:absolute;left:0pt;margin-left:2.75pt;margin-top:46.95pt;height:32.8pt;width:596.85pt;mso-position-horizontal-relative:page;mso-position-vertical-relative:page;z-index:251705344;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706368;mso-width-relative:page;mso-height-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81"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8" o:spid="_x0000_s2068" o:spt="203" style="position:absolute;left:0pt;margin-left:0pt;margin-top:0pt;height:37.85pt;width:594.8pt;mso-position-horizontal-relative:page;mso-position-vertical-relative:page;z-index:251754496;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755520;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77" o:spid="_x0000_s2077" o:spt="203" style="position:absolute;left:0pt;margin-top:29.75pt;height:32pt;width:157.5pt;mso-position-horizontal:left;mso-position-horizontal-relative:page;mso-position-vertical-relative:page;z-index:25175756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75654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53" o:spid="_x0000_s2053" o:spt="203" style="position:absolute;left:0pt;margin-left:2.5pt;margin-top:28.75pt;height:35.25pt;width:594.8pt;mso-position-horizontal-relative:page;mso-position-vertical-relative:page;z-index:25283174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283276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0" o:spid="_x0000_s2060" o:spt="203" style="position:absolute;left:0pt;margin-left:0pt;margin-top:0pt;height:38.05pt;width:596.5pt;mso-position-horizontal-relative:page;mso-position-vertical-relative:page;z-index:25189171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89273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B88754"/>
    <w:multiLevelType w:val="singleLevel"/>
    <w:tmpl w:val="59B88754"/>
    <w:lvl w:ilvl="0" w:tentative="0">
      <w:start w:val="1"/>
      <w:numFmt w:val="chineseCounting"/>
      <w:suff w:val="nothing"/>
      <w:lvlText w:val="（%1）"/>
      <w:lvlJc w:val="left"/>
      <w:pPr>
        <w:ind w:left="0" w:firstLine="420"/>
      </w:pPr>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02BF2"/>
    <w:rsid w:val="00010909"/>
    <w:rsid w:val="00065E86"/>
    <w:rsid w:val="0007063E"/>
    <w:rsid w:val="00073392"/>
    <w:rsid w:val="00073F4E"/>
    <w:rsid w:val="00081E93"/>
    <w:rsid w:val="00086C89"/>
    <w:rsid w:val="000A39FB"/>
    <w:rsid w:val="00117746"/>
    <w:rsid w:val="00126449"/>
    <w:rsid w:val="00163F95"/>
    <w:rsid w:val="001801A6"/>
    <w:rsid w:val="00180A9A"/>
    <w:rsid w:val="001829C0"/>
    <w:rsid w:val="00184809"/>
    <w:rsid w:val="00192112"/>
    <w:rsid w:val="00197B76"/>
    <w:rsid w:val="001B0127"/>
    <w:rsid w:val="001C12D5"/>
    <w:rsid w:val="001C69F7"/>
    <w:rsid w:val="0023163F"/>
    <w:rsid w:val="00256E36"/>
    <w:rsid w:val="002650EC"/>
    <w:rsid w:val="002963E9"/>
    <w:rsid w:val="002A6C46"/>
    <w:rsid w:val="002B027E"/>
    <w:rsid w:val="002C19B5"/>
    <w:rsid w:val="002E1FB9"/>
    <w:rsid w:val="00331038"/>
    <w:rsid w:val="00334987"/>
    <w:rsid w:val="00366658"/>
    <w:rsid w:val="00380FA3"/>
    <w:rsid w:val="003A1E50"/>
    <w:rsid w:val="003A4EE8"/>
    <w:rsid w:val="003B350C"/>
    <w:rsid w:val="00442CC2"/>
    <w:rsid w:val="00446244"/>
    <w:rsid w:val="004656B6"/>
    <w:rsid w:val="00473C20"/>
    <w:rsid w:val="004D4536"/>
    <w:rsid w:val="004D61CB"/>
    <w:rsid w:val="004F0A3E"/>
    <w:rsid w:val="005011D6"/>
    <w:rsid w:val="00503F2E"/>
    <w:rsid w:val="005263B0"/>
    <w:rsid w:val="00536502"/>
    <w:rsid w:val="00552226"/>
    <w:rsid w:val="00566120"/>
    <w:rsid w:val="00582E6D"/>
    <w:rsid w:val="005954D5"/>
    <w:rsid w:val="005A53FA"/>
    <w:rsid w:val="005A5BC2"/>
    <w:rsid w:val="005D1293"/>
    <w:rsid w:val="00603C2E"/>
    <w:rsid w:val="00644D5F"/>
    <w:rsid w:val="006727AD"/>
    <w:rsid w:val="00676FDD"/>
    <w:rsid w:val="00681F3C"/>
    <w:rsid w:val="00685399"/>
    <w:rsid w:val="006862F8"/>
    <w:rsid w:val="00691425"/>
    <w:rsid w:val="00691612"/>
    <w:rsid w:val="006A516E"/>
    <w:rsid w:val="006B0830"/>
    <w:rsid w:val="006B7E86"/>
    <w:rsid w:val="00716E2B"/>
    <w:rsid w:val="00766671"/>
    <w:rsid w:val="00770F18"/>
    <w:rsid w:val="00773B74"/>
    <w:rsid w:val="0078290C"/>
    <w:rsid w:val="007C06CA"/>
    <w:rsid w:val="00815DAF"/>
    <w:rsid w:val="008163FB"/>
    <w:rsid w:val="0082605B"/>
    <w:rsid w:val="00854207"/>
    <w:rsid w:val="00855C36"/>
    <w:rsid w:val="00857DBE"/>
    <w:rsid w:val="008701BC"/>
    <w:rsid w:val="00871174"/>
    <w:rsid w:val="00883D92"/>
    <w:rsid w:val="008933E7"/>
    <w:rsid w:val="008934CB"/>
    <w:rsid w:val="008A5362"/>
    <w:rsid w:val="008C47B5"/>
    <w:rsid w:val="008E32FB"/>
    <w:rsid w:val="008F21F1"/>
    <w:rsid w:val="008F221B"/>
    <w:rsid w:val="008F5A2D"/>
    <w:rsid w:val="00921602"/>
    <w:rsid w:val="0092513C"/>
    <w:rsid w:val="009566BF"/>
    <w:rsid w:val="00957EA1"/>
    <w:rsid w:val="00966E5B"/>
    <w:rsid w:val="009B4EF0"/>
    <w:rsid w:val="009D271F"/>
    <w:rsid w:val="00A00C53"/>
    <w:rsid w:val="00A10E83"/>
    <w:rsid w:val="00A11018"/>
    <w:rsid w:val="00A72604"/>
    <w:rsid w:val="00A865DA"/>
    <w:rsid w:val="00A929C2"/>
    <w:rsid w:val="00AC2D50"/>
    <w:rsid w:val="00AD097F"/>
    <w:rsid w:val="00B34320"/>
    <w:rsid w:val="00B468E5"/>
    <w:rsid w:val="00B6052A"/>
    <w:rsid w:val="00B66A9C"/>
    <w:rsid w:val="00B844F4"/>
    <w:rsid w:val="00BA06A1"/>
    <w:rsid w:val="00BA770A"/>
    <w:rsid w:val="00BB50FF"/>
    <w:rsid w:val="00BC7616"/>
    <w:rsid w:val="00C033C3"/>
    <w:rsid w:val="00C054DE"/>
    <w:rsid w:val="00C36FB1"/>
    <w:rsid w:val="00C679A9"/>
    <w:rsid w:val="00C7541C"/>
    <w:rsid w:val="00CC0FAA"/>
    <w:rsid w:val="00CC3DBC"/>
    <w:rsid w:val="00CD0736"/>
    <w:rsid w:val="00D1570F"/>
    <w:rsid w:val="00D2218A"/>
    <w:rsid w:val="00D23A37"/>
    <w:rsid w:val="00D32830"/>
    <w:rsid w:val="00D75918"/>
    <w:rsid w:val="00D96772"/>
    <w:rsid w:val="00DB7153"/>
    <w:rsid w:val="00DB7F05"/>
    <w:rsid w:val="00E028C3"/>
    <w:rsid w:val="00E14F77"/>
    <w:rsid w:val="00E3076B"/>
    <w:rsid w:val="00E36978"/>
    <w:rsid w:val="00E41CEF"/>
    <w:rsid w:val="00E6662E"/>
    <w:rsid w:val="00E82A1E"/>
    <w:rsid w:val="00EC06F4"/>
    <w:rsid w:val="00EC4288"/>
    <w:rsid w:val="00EE4E36"/>
    <w:rsid w:val="00F33483"/>
    <w:rsid w:val="00F5415E"/>
    <w:rsid w:val="00F665F4"/>
    <w:rsid w:val="00F925E8"/>
    <w:rsid w:val="00FD225F"/>
    <w:rsid w:val="00FF0443"/>
    <w:rsid w:val="31C2036A"/>
    <w:rsid w:val="320D02A5"/>
    <w:rsid w:val="341106AE"/>
    <w:rsid w:val="348E566F"/>
    <w:rsid w:val="3A226944"/>
    <w:rsid w:val="3AEE6A48"/>
    <w:rsid w:val="3C1620AA"/>
    <w:rsid w:val="3D8F080F"/>
    <w:rsid w:val="44CE1FA4"/>
    <w:rsid w:val="487F73ED"/>
    <w:rsid w:val="4A347EAE"/>
    <w:rsid w:val="4CE9456A"/>
    <w:rsid w:val="51FB7290"/>
    <w:rsid w:val="52600405"/>
    <w:rsid w:val="529B4319"/>
    <w:rsid w:val="5484238D"/>
    <w:rsid w:val="57773DD6"/>
    <w:rsid w:val="578B79AB"/>
    <w:rsid w:val="5CCD3FD5"/>
    <w:rsid w:val="61FA5F9D"/>
    <w:rsid w:val="64CD6910"/>
    <w:rsid w:val="6789158D"/>
    <w:rsid w:val="67D81BA4"/>
    <w:rsid w:val="6AAF1C96"/>
    <w:rsid w:val="6DD506B4"/>
    <w:rsid w:val="75681757"/>
    <w:rsid w:val="75A346A8"/>
    <w:rsid w:val="768C6560"/>
    <w:rsid w:val="79B9382C"/>
    <w:rsid w:val="7B043B76"/>
    <w:rsid w:val="7C041A6A"/>
    <w:rsid w:val="7E3275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table" w:styleId="9">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6"/>
    <w:qFormat/>
    <w:uiPriority w:val="99"/>
    <w:rPr>
      <w:rFonts w:asciiTheme="minorHAnsi" w:hAnsiTheme="minorHAnsi" w:eastAsiaTheme="minorEastAsia"/>
      <w:sz w:val="18"/>
      <w:szCs w:val="18"/>
    </w:rPr>
  </w:style>
  <w:style w:type="character" w:customStyle="1" w:styleId="12">
    <w:name w:val="页脚 Char"/>
    <w:basedOn w:val="10"/>
    <w:link w:val="5"/>
    <w:qFormat/>
    <w:uiPriority w:val="99"/>
    <w:rPr>
      <w:sz w:val="18"/>
      <w:szCs w:val="18"/>
    </w:rPr>
  </w:style>
  <w:style w:type="paragraph" w:customStyle="1" w:styleId="13">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4">
    <w:name w:val="标题 2 Char"/>
    <w:basedOn w:val="10"/>
    <w:link w:val="3"/>
    <w:qFormat/>
    <w:uiPriority w:val="9"/>
    <w:rPr>
      <w:rFonts w:asciiTheme="majorHAnsi" w:hAnsiTheme="majorHAnsi" w:eastAsiaTheme="majorEastAsia" w:cstheme="majorBidi"/>
      <w:b/>
      <w:bCs/>
      <w:kern w:val="2"/>
      <w:sz w:val="32"/>
      <w:szCs w:val="32"/>
    </w:rPr>
  </w:style>
  <w:style w:type="paragraph" w:customStyle="1"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GIF"/><Relationship Id="rId33" Type="http://schemas.openxmlformats.org/officeDocument/2006/relationships/theme" Target="theme/theme1.xml"/><Relationship Id="rId32" Type="http://schemas.openxmlformats.org/officeDocument/2006/relationships/footer" Target="footer13.xml"/><Relationship Id="rId31" Type="http://schemas.openxmlformats.org/officeDocument/2006/relationships/header" Target="header17.xml"/><Relationship Id="rId30" Type="http://schemas.openxmlformats.org/officeDocument/2006/relationships/header" Target="header16.xml"/><Relationship Id="rId3" Type="http://schemas.openxmlformats.org/officeDocument/2006/relationships/header" Target="header1.xml"/><Relationship Id="rId29" Type="http://schemas.openxmlformats.org/officeDocument/2006/relationships/header" Target="header15.xml"/><Relationship Id="rId28" Type="http://schemas.openxmlformats.org/officeDocument/2006/relationships/header" Target="header14.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2"/>
    <customShpInfo spid="_x0000_s2101"/>
    <customShpInfo spid="_x0000_s2100"/>
    <customShpInfo spid="_x0000_s2099"/>
    <customShpInfo spid="_x0000_s2098"/>
    <customShpInfo spid="_x0000_s2097"/>
    <customShpInfo spid="_x0000_s2096"/>
    <customShpInfo spid="_x0000_s2094"/>
    <customShpInfo spid="_x0000_s2093"/>
    <customShpInfo spid="_x0000_s2092"/>
    <customShpInfo spid="_x0000_s2091"/>
    <customShpInfo spid="_x0000_s2090"/>
    <customShpInfo spid="_x0000_s2089"/>
    <customShpInfo spid="_x0000_s2088"/>
    <customShpInfo spid="_x0000_s2087"/>
    <customShpInfo spid="_x0000_s2095"/>
    <customShpInfo spid="_x0000_s2086"/>
    <customShpInfo spid="_x0000_s2085"/>
    <customShpInfo spid="_x0000_s2084"/>
    <customShpInfo spid="_x0000_s2083"/>
    <customShpInfo spid="_x0000_s2082"/>
    <customShpInfo spid="_x0000_s2081"/>
    <customShpInfo spid="_x0000_s2080"/>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41"/>
    <customShpInfo spid="_x0000_s1040"/>
    <customShpInfo spid="_x0000_s1039"/>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B3AD2-C8B2-4526-8C9A-6DAA8D82E592}">
  <ds:schemaRefs/>
</ds:datastoreItem>
</file>

<file path=docProps/app.xml><?xml version="1.0" encoding="utf-8"?>
<Properties xmlns="http://schemas.openxmlformats.org/officeDocument/2006/extended-properties" xmlns:vt="http://schemas.openxmlformats.org/officeDocument/2006/docPropsVTypes">
  <Template>简约文档封面模板</Template>
  <Pages>42</Pages>
  <Words>3039</Words>
  <Characters>17323</Characters>
  <Lines>144</Lines>
  <Paragraphs>40</Paragraphs>
  <TotalTime>6</TotalTime>
  <ScaleCrop>false</ScaleCrop>
  <LinksUpToDate>false</LinksUpToDate>
  <CharactersWithSpaces>20322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2021-05-25T07:51:49Z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