
<file path=[Content_Types].xml><?xml version="1.0" encoding="utf-8"?>
<Types xmlns="http://schemas.openxmlformats.org/package/2006/content-types">
  <Default Extension="xml" ContentType="application/xml"/>
  <Default Extension="gif" ContentType="image/gi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516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hint="eastAsia" w:ascii="宋体" w:hAnsi="宋体" w:eastAsia="宋体" w:cs="宋体"/>
                      <w:color w:val="000000" w:themeColor="text1"/>
                      <w:kern w:val="0"/>
                      <w:sz w:val="44"/>
                      <w:szCs w:val="44"/>
                    </w:rPr>
                  </w:pPr>
                  <w:r>
                    <w:rPr>
                      <w:rFonts w:hint="eastAsia" w:ascii="宋体" w:hAnsi="宋体" w:eastAsia="宋体" w:cs="宋体"/>
                      <w:color w:val="000000" w:themeColor="text1"/>
                      <w:kern w:val="0"/>
                      <w:sz w:val="44"/>
                      <w:szCs w:val="44"/>
                    </w:rPr>
                    <w:t>二〇二〇年八月</w:t>
                  </w:r>
                </w:p>
              </w:txbxContent>
            </v:textbox>
          </v:shape>
        </w:pict>
      </w:r>
      <w:r>
        <w:pict>
          <v:shape id="椭圆 8" o:spid="_x0000_s1051" o:spt="3" type="#_x0000_t3" style="position:absolute;left:0pt;margin-left:53.5pt;margin-top:232.45pt;height:121.95pt;width:121.95pt;z-index:25165209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on="t" focussize="0,0"/>
            <v:stroke on="f" weight="1pt" joinstyle="miter"/>
            <v:imagedata o:title=""/>
            <o:lock v:ext="edit"/>
          </v:shape>
        </w:pict>
      </w:r>
      <w:r>
        <w:pict>
          <v:rect id="矩形 14" o:spid="_x0000_s1050"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shape>
        </w:pict>
      </w:r>
      <w:r>
        <w:pict>
          <v:group id="_x0000_s1046" o:spid="_x0000_s1046" o:spt="203" style="position:absolute;left:0pt;margin-left:1.25pt;margin-top:821.7pt;height:21.45pt;width:595.25pt;z-index:25165312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pPr/>
                </w:p>
              </w:txbxContent>
            </v:textbox>
          </v:rect>
        </w:pict>
      </w:r>
    </w:p>
    <w:p>
      <w:pPr/>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pict>
          <v:group id="_x0000_s1043" o:spid="_x0000_s1043" o:spt="203" style="position:absolute;left:0pt;margin-left:-80.3pt;margin-top:111.25pt;height:69.6pt;width:600.25pt;z-index:-251666432;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宋体" w:hAnsi="宋体" w:eastAsia="宋体" w:cs="宋体"/>
          <w:color w:val="000000" w:themeColor="text1"/>
          <w:kern w:val="0"/>
          <w:sz w:val="44"/>
          <w:szCs w:val="44"/>
          <w:highlight w:val="yellow"/>
        </w:rPr>
      </w:pPr>
      <w:r>
        <w:rPr>
          <w:rFonts w:hint="eastAsia" w:ascii="宋体" w:hAnsi="宋体" w:eastAsia="宋体" w:cs="宋体"/>
          <w:color w:val="000000" w:themeColor="text1"/>
          <w:kern w:val="0"/>
          <w:sz w:val="44"/>
          <w:szCs w:val="44"/>
        </w:rPr>
        <w:t>阜城县古城镇卫生院</w:t>
      </w:r>
    </w:p>
    <w:p>
      <w:pPr>
        <w:snapToGrid w:val="0"/>
        <w:jc w:val="center"/>
        <w:rPr>
          <w:rFonts w:hint="eastAsia" w:ascii="宋体" w:hAnsi="宋体" w:eastAsia="宋体" w:cs="宋体"/>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宋体" w:hAnsi="宋体" w:eastAsia="宋体" w:cs="宋体"/>
          <w:color w:val="000000" w:themeColor="text1"/>
          <w:kern w:val="0"/>
          <w:sz w:val="44"/>
          <w:szCs w:val="44"/>
        </w:rPr>
        <w:t>二〇二〇年八月</w:t>
      </w:r>
    </w:p>
    <w:p>
      <w:pPr>
        <w:widowControl/>
        <w:spacing w:line="600" w:lineRule="exact"/>
        <w:jc w:val="left"/>
        <w:rPr>
          <w:rFonts w:ascii="黑体" w:hAnsi="黑体" w:eastAsia="黑体" w:cs="黑体"/>
          <w:bCs/>
          <w:sz w:val="32"/>
          <w:szCs w:val="32"/>
          <w:highlight w:val="yellow"/>
        </w:rPr>
      </w:pPr>
    </w:p>
    <w:p>
      <w:pPr>
        <w:widowControl/>
        <w:spacing w:line="600" w:lineRule="exact"/>
        <w:jc w:val="left"/>
        <w:rPr>
          <w:rFonts w:ascii="黑体" w:hAnsi="黑体" w:eastAsia="黑体" w:cs="黑体"/>
          <w:bCs/>
          <w:sz w:val="32"/>
          <w:szCs w:val="32"/>
          <w:highlight w:val="yellow"/>
        </w:rPr>
      </w:pPr>
    </w:p>
    <w:p>
      <w:pPr>
        <w:jc w:val="center"/>
        <w:rPr>
          <w:rFonts w:hint="eastAsia" w:ascii="宋体" w:hAnsi="宋体" w:eastAsia="宋体" w:cs="宋体"/>
          <w:sz w:val="48"/>
          <w:szCs w:val="48"/>
        </w:rPr>
      </w:pPr>
      <w:r>
        <w:rPr>
          <w:rFonts w:hint="eastAsia" w:ascii="黑体" w:hAnsi="Times New Roman" w:eastAsia="黑体" w:cs="Times New Roman"/>
          <w:sz w:val="48"/>
          <w:szCs w:val="48"/>
        </w:rPr>
        <w:br w:type="page"/>
      </w:r>
      <w:r>
        <w:rPr>
          <w:rFonts w:hint="eastAsia" w:ascii="宋体" w:hAnsi="宋体" w:eastAsia="宋体" w:cs="宋体"/>
          <w:sz w:val="48"/>
          <w:szCs w:val="48"/>
        </w:rPr>
        <w:t>目    录</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24"/>
          <w:szCs w:val="32"/>
        </w:rPr>
      </w:pPr>
      <w:r>
        <w:rPr>
          <w:rFonts w:hint="eastAsia" w:ascii="宋体" w:hAnsi="宋体" w:eastAsia="宋体" w:cs="宋体"/>
          <w:sz w:val="32"/>
          <w:szCs w:val="32"/>
        </w:rPr>
        <w:t>第一部分   部门概况</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一、部门职责</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二、机构设置</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第二部分   2019年部门决算情况说明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五、一般公共预算“三公”经费支出决算情况说明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六、预算绩效情况说明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七、其他重要事项的说明</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第三部分  名词解释</w:t>
      </w:r>
    </w:p>
    <w:p>
      <w:pPr>
        <w:widowControl/>
        <w:spacing w:after="160" w:line="580" w:lineRule="exact"/>
        <w:ind w:firstLine="640" w:firstLineChars="200"/>
        <w:rPr>
          <w:rFonts w:hint="eastAsia" w:ascii="宋体" w:hAnsi="宋体" w:eastAsia="宋体" w:cs="宋体"/>
          <w:sz w:val="20"/>
          <w:szCs w:val="32"/>
        </w:rPr>
      </w:pPr>
      <w:r>
        <w:rPr>
          <w:rFonts w:hint="eastAsia" w:ascii="宋体" w:hAnsi="宋体" w:eastAsia="宋体" w:cs="宋体"/>
          <w:sz w:val="32"/>
          <w:szCs w:val="32"/>
        </w:rPr>
        <w:t>第四部分  2019年度部门决算报表</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sz w:val="72"/>
        </w:rPr>
        <w:pict>
          <v:shape id="_x0000_s1041" o:spid="_x0000_s1041"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1" focussize="0,0" r:id="rId3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rPr>
          <w:rFonts w:hint="eastAsia" w:ascii="宋体" w:hAnsi="宋体" w:eastAsia="宋体" w:cs="宋体"/>
        </w:rPr>
        <w:br w:type="page"/>
      </w:r>
    </w:p>
    <w:p>
      <w:pPr>
        <w:pStyle w:val="2"/>
        <w:spacing w:before="0" w:after="0" w:line="580" w:lineRule="exact"/>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一、部门职责</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1、 为人民身体健康提供医疗与预防保健服务；</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2、 常见病多发病护理、预防保健；</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3、 卫生技术人员培训；</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4、 初级卫生保健规划实施、合作医疗组织与管理。</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5、开展基本公共卫生服务。</w:t>
      </w:r>
    </w:p>
    <w:p>
      <w:pPr>
        <w:keepNext/>
        <w:keepLines/>
        <w:spacing w:line="580" w:lineRule="exact"/>
        <w:ind w:firstLine="640" w:firstLineChars="200"/>
        <w:jc w:val="left"/>
        <w:outlineLvl w:val="0"/>
        <w:rPr>
          <w:rFonts w:hint="eastAsia" w:ascii="宋体" w:hAnsi="宋体" w:eastAsia="宋体" w:cs="宋体"/>
          <w:kern w:val="0"/>
          <w:sz w:val="32"/>
          <w:szCs w:val="32"/>
        </w:rPr>
      </w:pPr>
      <w:r>
        <w:rPr>
          <w:rFonts w:hint="eastAsia" w:ascii="宋体" w:hAnsi="宋体" w:eastAsia="宋体" w:cs="宋体"/>
          <w:kern w:val="0"/>
          <w:sz w:val="32"/>
          <w:szCs w:val="32"/>
        </w:rPr>
        <w:t>二、机构设置</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从决算编报单位构成看，纳入2019 年度本部门决算汇编范围的独立核算单位（以下简称“单位”）共1个，具体情况如下：</w:t>
      </w:r>
    </w:p>
    <w:tbl>
      <w:tblPr>
        <w:tblStyle w:val="12"/>
        <w:tblpPr w:leftFromText="180" w:rightFromText="180" w:vertAnchor="text" w:horzAnchor="page" w:tblpXSpec="center" w:tblpY="10"/>
        <w:tblOverlap w:val="never"/>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092"/>
        <w:gridCol w:w="2838"/>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3092"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单位名称</w:t>
            </w:r>
          </w:p>
        </w:tc>
        <w:tc>
          <w:tcPr>
            <w:tcW w:w="2838"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单位基本性质</w:t>
            </w:r>
          </w:p>
        </w:tc>
        <w:tc>
          <w:tcPr>
            <w:tcW w:w="2832"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3092" w:type="dxa"/>
          </w:tcPr>
          <w:p>
            <w:pPr>
              <w:spacing w:line="560" w:lineRule="exact"/>
              <w:rPr>
                <w:rFonts w:hint="eastAsia" w:ascii="宋体" w:hAnsi="宋体" w:eastAsia="宋体" w:cs="宋体"/>
                <w:kern w:val="0"/>
                <w:sz w:val="28"/>
                <w:szCs w:val="28"/>
              </w:rPr>
            </w:pPr>
            <w:r>
              <w:rPr>
                <w:rFonts w:hint="eastAsia" w:ascii="宋体" w:hAnsi="宋体" w:eastAsia="宋体" w:cs="宋体"/>
                <w:kern w:val="0"/>
                <w:sz w:val="28"/>
                <w:szCs w:val="28"/>
              </w:rPr>
              <w:t>阜城县古城镇卫生院</w:t>
            </w:r>
          </w:p>
        </w:tc>
        <w:tc>
          <w:tcPr>
            <w:tcW w:w="2838"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财政补助事业单位</w:t>
            </w:r>
          </w:p>
        </w:tc>
        <w:tc>
          <w:tcPr>
            <w:tcW w:w="2832"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财政性资金基本保证</w:t>
            </w:r>
          </w:p>
        </w:tc>
      </w:tr>
    </w:tbl>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pPr>
    </w:p>
    <w:p>
      <w:pPr>
        <w:jc w:val="center"/>
        <w:outlineLvl w:val="0"/>
        <w:rPr>
          <w:rFonts w:hint="eastAsia" w:ascii="宋体" w:hAnsi="宋体" w:eastAsia="宋体" w:cs="宋体"/>
          <w:b/>
          <w:sz w:val="28"/>
          <w:szCs w:val="28"/>
        </w:rPr>
      </w:pPr>
      <w:r>
        <w:rPr>
          <w:rFonts w:hint="eastAsia" w:ascii="宋体" w:hAnsi="宋体" w:eastAsia="宋体" w:cs="宋体"/>
          <w:b/>
          <w:sz w:val="28"/>
          <w:szCs w:val="28"/>
        </w:rPr>
        <w:t>部门机构设置情况</w:t>
      </w:r>
    </w:p>
    <w:p>
      <w:pPr>
        <w:widowControl/>
        <w:spacing w:after="160" w:line="580" w:lineRule="exact"/>
        <w:ind w:firstLine="640" w:firstLineChars="200"/>
        <w:rPr>
          <w:rFonts w:hint="eastAsia" w:ascii="宋体" w:hAnsi="宋体" w:eastAsia="宋体" w:cs="宋体"/>
          <w:sz w:val="32"/>
          <w:szCs w:val="32"/>
        </w:rPr>
      </w:pPr>
    </w:p>
    <w:tbl>
      <w:tblPr>
        <w:tblStyle w:val="11"/>
        <w:tblW w:w="845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5"/>
        <w:gridCol w:w="251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jc w:val="center"/>
        </w:trPr>
        <w:tc>
          <w:tcPr>
            <w:tcW w:w="3035"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单位名称</w:t>
            </w:r>
          </w:p>
        </w:tc>
        <w:tc>
          <w:tcPr>
            <w:tcW w:w="2516"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单位性质</w:t>
            </w:r>
          </w:p>
        </w:tc>
        <w:tc>
          <w:tcPr>
            <w:tcW w:w="2902"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jc w:val="center"/>
        </w:trPr>
        <w:tc>
          <w:tcPr>
            <w:tcW w:w="3035" w:type="dxa"/>
            <w:vMerge w:val="continue"/>
            <w:vAlign w:val="center"/>
          </w:tcPr>
          <w:p>
            <w:pPr>
              <w:spacing w:line="300" w:lineRule="exact"/>
              <w:outlineLvl w:val="0"/>
              <w:rPr>
                <w:rFonts w:hint="eastAsia" w:ascii="宋体" w:hAnsi="宋体" w:eastAsia="宋体" w:cs="宋体"/>
              </w:rPr>
            </w:pPr>
          </w:p>
        </w:tc>
        <w:tc>
          <w:tcPr>
            <w:tcW w:w="2516" w:type="dxa"/>
            <w:vMerge w:val="continue"/>
            <w:vAlign w:val="center"/>
          </w:tcPr>
          <w:p>
            <w:pPr>
              <w:spacing w:line="300" w:lineRule="exact"/>
              <w:outlineLvl w:val="0"/>
              <w:rPr>
                <w:rFonts w:hint="eastAsia" w:ascii="宋体" w:hAnsi="宋体" w:eastAsia="宋体" w:cs="宋体"/>
              </w:rPr>
            </w:pPr>
          </w:p>
        </w:tc>
        <w:tc>
          <w:tcPr>
            <w:tcW w:w="2902" w:type="dxa"/>
            <w:vMerge w:val="continue"/>
            <w:vAlign w:val="center"/>
          </w:tcPr>
          <w:p>
            <w:pPr>
              <w:spacing w:line="300" w:lineRule="exact"/>
              <w:outlineLvl w:val="0"/>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内科</w:t>
            </w:r>
          </w:p>
        </w:tc>
        <w:tc>
          <w:tcPr>
            <w:tcW w:w="2516" w:type="dxa"/>
            <w:vAlign w:val="center"/>
          </w:tcPr>
          <w:p>
            <w:pPr>
              <w:spacing w:line="300" w:lineRule="exact"/>
              <w:jc w:val="center"/>
              <w:rPr>
                <w:rFonts w:hint="eastAsia" w:ascii="宋体" w:hAnsi="宋体" w:eastAsia="宋体" w:cs="宋体"/>
                <w:lang w:eastAsia="zh-CN"/>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lang w:eastAsia="zh-CN"/>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外科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药房</w:t>
            </w:r>
          </w:p>
        </w:tc>
        <w:tc>
          <w:tcPr>
            <w:tcW w:w="2516" w:type="dxa"/>
            <w:vAlign w:val="center"/>
          </w:tcPr>
          <w:p>
            <w:pPr>
              <w:spacing w:line="300" w:lineRule="exact"/>
              <w:jc w:val="center"/>
              <w:rPr>
                <w:rFonts w:hint="eastAsia" w:ascii="宋体" w:hAnsi="宋体" w:eastAsia="宋体" w:cs="宋体"/>
                <w:b/>
                <w:bCs/>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护办室</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公共卫生科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财务科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功能科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bl>
    <w:p>
      <w:pPr>
        <w:widowControl/>
        <w:spacing w:after="160" w:line="580" w:lineRule="exact"/>
        <w:ind w:firstLine="640" w:firstLineChars="200"/>
        <w:rPr>
          <w:rFonts w:hint="eastAsia" w:ascii="宋体" w:hAnsi="宋体" w:eastAsia="宋体" w:cs="宋体"/>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hint="eastAsia" w:ascii="宋体" w:hAnsi="宋体" w:eastAsia="宋体" w:cs="宋体"/>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hint="eastAsia" w:ascii="宋体" w:hAnsi="宋体" w:eastAsia="宋体" w:cs="宋体"/>
          <w:sz w:val="32"/>
          <w:szCs w:val="32"/>
        </w:rPr>
        <w:sectPr>
          <w:pgSz w:w="11906" w:h="16838"/>
          <w:pgMar w:top="2041" w:right="1531" w:bottom="2041" w:left="1531" w:header="851" w:footer="992" w:gutter="0"/>
          <w:pgNumType w:fmt="numberInDash"/>
          <w:cols w:space="0" w:num="1"/>
          <w:titlePg/>
          <w:docGrid w:type="lines" w:linePitch="312" w:charSpace="0"/>
        </w:sectPr>
      </w:pPr>
      <w:r>
        <w:rPr>
          <w:rFonts w:hint="eastAsia" w:ascii="宋体" w:hAnsi="宋体" w:eastAsia="宋体" w:cs="宋体"/>
          <w:sz w:val="72"/>
        </w:rPr>
        <w:pict>
          <v:shape id="_x0000_s1040" o:spid="_x0000_s1040"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hint="eastAsia" w:ascii="宋体" w:hAnsi="宋体" w:eastAsia="宋体" w:cs="宋体"/>
          <w:sz w:val="32"/>
          <w:szCs w:val="3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r>
        <w:rPr>
          <w:rFonts w:hint="eastAsia" w:ascii="宋体" w:hAnsi="宋体" w:eastAsia="宋体" w:cs="宋体"/>
          <w:sz w:val="72"/>
        </w:rPr>
        <w:pict>
          <v:shape id="_x0000_s1039" o:spid="_x0000_s1039"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1" focussize="0,0" r:id="rId3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pPr/>
                </w:p>
              </w:txbxContent>
            </v:textbox>
          </v:shape>
        </w:pict>
      </w: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按照预算管理有关规定，目前我部门预算的编制实行综合预算制度，即全部收入和支出都反映在预算中。阜城县古城镇卫生院及所属行政（事业）单位的收支包含在部门决算中。</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一、收入</w:t>
      </w:r>
      <w:r>
        <w:rPr>
          <w:rFonts w:hint="eastAsia" w:ascii="宋体" w:hAnsi="宋体" w:eastAsia="宋体" w:cs="宋体"/>
          <w:kern w:val="0"/>
          <w:sz w:val="32"/>
          <w:szCs w:val="32"/>
        </w:rPr>
        <w:t>支出</w:t>
      </w:r>
      <w:r>
        <w:rPr>
          <w:rFonts w:hint="eastAsia" w:ascii="宋体" w:hAnsi="宋体" w:eastAsia="宋体" w:cs="宋体"/>
          <w:sz w:val="32"/>
          <w:szCs w:val="32"/>
        </w:rPr>
        <w:t>决算总体情况说明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本部门2019年度收支总计（含结转和结余）1040.13万元。与2018年度决算相比，收支各增加125.59万元，增长13.73%，主要原因是财政拨款收入、事业收入以及年初结转和结余都比上年度有所增加。</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二、收入决算情况说明</w:t>
      </w:r>
    </w:p>
    <w:p>
      <w:pPr>
        <w:adjustRightInd w:val="0"/>
        <w:snapToGrid w:val="0"/>
        <w:spacing w:line="580" w:lineRule="exact"/>
        <w:ind w:firstLine="640" w:firstLineChars="200"/>
        <w:rPr>
          <w:rFonts w:hint="eastAsia" w:ascii="宋体" w:hAnsi="宋体" w:eastAsia="宋体" w:cs="宋体"/>
          <w:sz w:val="32"/>
          <w:szCs w:val="32"/>
          <w:highlight w:val="yellow"/>
        </w:rPr>
      </w:pPr>
      <w:r>
        <w:rPr>
          <w:rFonts w:hint="eastAsia" w:ascii="宋体" w:hAnsi="宋体" w:eastAsia="宋体" w:cs="宋体"/>
          <w:sz w:val="32"/>
          <w:szCs w:val="32"/>
        </w:rPr>
        <w:t>本部门2019年度本年收入合计877.71万元，其中：财政拨款收入584.59万元，占66.60%；事业收入293.12万元，占33.40%。</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三、支出决算情况说明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本部门2019年度本年支出合计886.40万元，其中：基本支出886.40万元，占100%。</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四、</w:t>
      </w:r>
      <w:r>
        <w:rPr>
          <w:rFonts w:hint="eastAsia" w:ascii="宋体" w:hAnsi="宋体" w:eastAsia="宋体" w:cs="宋体"/>
          <w:kern w:val="0"/>
          <w:sz w:val="32"/>
          <w:szCs w:val="32"/>
        </w:rPr>
        <w:t>财政</w:t>
      </w:r>
      <w:r>
        <w:rPr>
          <w:rFonts w:hint="eastAsia" w:ascii="宋体" w:hAnsi="宋体" w:eastAsia="宋体" w:cs="宋体"/>
          <w:sz w:val="32"/>
          <w:szCs w:val="32"/>
        </w:rPr>
        <w:t>拨款收入支出决算总体情况说明</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（一）财政拨款收支与2018 年度决算对比情况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形成的财政拨款收支均为一般公共预算财政拨款，其中本年收入584.59万元,比2018年度增加35.58万元，增长6.48%，主要是2019年基本公共卫生服务方面收入增加；本年支出572.21万元，减少3.06万元，降低0.53%，主要是单位离退休人员养老保险和职业年金支出较上年减少。</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（二）财政拨款收支与年初预算数对比情况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本部门2019年度一般公共预算财政拨款收入584.59万元，完成年初预算的311.63%,比年初预算增加397</w:t>
      </w:r>
      <w:r>
        <w:rPr>
          <w:rFonts w:hint="eastAsia" w:ascii="宋体" w:hAnsi="宋体" w:eastAsia="宋体" w:cs="宋体"/>
          <w:sz w:val="32"/>
          <w:szCs w:val="32"/>
          <w:lang w:val="en-US" w:eastAsia="zh-CN"/>
        </w:rPr>
        <w:t>.00</w:t>
      </w:r>
      <w:r>
        <w:rPr>
          <w:rFonts w:hint="eastAsia" w:ascii="宋体" w:hAnsi="宋体" w:eastAsia="宋体" w:cs="宋体"/>
          <w:sz w:val="32"/>
          <w:szCs w:val="32"/>
        </w:rPr>
        <w:t>万元，决算数大于预算数主要原因是年初预算只安排了人员经费；本年支出572.21万元，完成年初预算的305.03%,比年初预算增加384.62万元，决算数大于预算数主要原因是年初预算只安排了人员经费。</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（三）财政拨款支出决算结构情况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年度财政拨款支出572.21万元，主要用于以下方面社会保障和就业（类）支出 0.33万元，占0.06%；卫生健康支出552.20万元，占96.50%；住房保障（类）支出19.67万元，占 3.44%。</w:t>
      </w:r>
    </w:p>
    <w:p>
      <w:p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（四）一般公共预算基本支出决算情况说明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年度财政拨款基本支出572.21万元，其中：人员经费 457.19万元，主要包括基本工资、津贴补贴、奖金、绩效工资、职业年金缴费、住房公积金、其他工资福利支出；公用经费 115.02万元，主要包括办公费、印刷费、水费、电费、邮电费、取暖费、维修（护）费、专用材料费、专用燃料费、劳务费、工会经费、办公设备购置、信息网络及软件购置更新。</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五、一般公共预算“三公” 经费支出决算情况说明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本部门2019年度“三公”经费支出共计0万元，与预算持平，与2018年度决算支出持平。具体情况如下：</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（一）因公出国（境）费支出0万元。</w:t>
      </w:r>
      <w:r>
        <w:rPr>
          <w:rFonts w:hint="eastAsia" w:ascii="宋体" w:hAnsi="宋体" w:eastAsia="宋体" w:cs="宋体"/>
          <w:sz w:val="32"/>
          <w:szCs w:val="32"/>
        </w:rPr>
        <w:t>本部门2019年度因公出国（境）团组0个、共0人/参加其他单位组织的因公出国（境）团组0个、0人/无本单位组织的出国（境）团组。因公出国（境）费支出为0，与预算持平，与2018年度决算支出持平。</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（二）公务用车购置及运行维护费支出0万元。</w:t>
      </w:r>
      <w:r>
        <w:rPr>
          <w:rFonts w:hint="eastAsia" w:ascii="宋体" w:hAnsi="宋体" w:eastAsia="宋体" w:cs="宋体"/>
          <w:sz w:val="32"/>
          <w:szCs w:val="32"/>
        </w:rPr>
        <w:t>本部门2019年度公务用车购置及运行维护费支出为0，与预算持平，与2018年度决算支出持平。</w:t>
      </w:r>
      <w:r>
        <w:rPr>
          <w:rFonts w:hint="eastAsia" w:ascii="宋体" w:hAnsi="宋体" w:eastAsia="宋体" w:cs="宋体"/>
          <w:b/>
          <w:bCs/>
          <w:sz w:val="32"/>
          <w:szCs w:val="32"/>
        </w:rPr>
        <w:t>其中：</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公务用车购置费：</w:t>
      </w:r>
      <w:r>
        <w:rPr>
          <w:rFonts w:hint="eastAsia" w:ascii="宋体" w:hAnsi="宋体" w:eastAsia="宋体" w:cs="宋体"/>
          <w:sz w:val="32"/>
          <w:szCs w:val="32"/>
        </w:rPr>
        <w:t>本部门2019年度公务用车购置量0辆，发生“公务用车购置”经费支出0万元。公务用车购置费支出与预算持平，与2018年度决算支出持平。</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公务用车运行维护费：</w:t>
      </w:r>
      <w:r>
        <w:rPr>
          <w:rFonts w:hint="eastAsia" w:ascii="宋体" w:hAnsi="宋体" w:eastAsia="宋体" w:cs="宋体"/>
          <w:sz w:val="32"/>
          <w:szCs w:val="32"/>
        </w:rPr>
        <w:t>本部门2019年度单位公务用车保有量0辆。公车运行维护费支出与预算持平，与2018年度决算支出持平。</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（三）公务接待费支出0万元。</w:t>
      </w:r>
      <w:r>
        <w:rPr>
          <w:rFonts w:hint="eastAsia" w:ascii="宋体" w:hAnsi="宋体" w:eastAsia="宋体" w:cs="宋体"/>
          <w:sz w:val="32"/>
          <w:szCs w:val="32"/>
        </w:rPr>
        <w:t>本部门2019年度公务接待共0批次、0人次。公务接待费支出与</w:t>
      </w:r>
      <w:bookmarkStart w:id="0" w:name="_GoBack"/>
      <w:bookmarkEnd w:id="0"/>
      <w:r>
        <w:rPr>
          <w:rFonts w:hint="eastAsia" w:ascii="宋体" w:hAnsi="宋体" w:eastAsia="宋体" w:cs="宋体"/>
          <w:sz w:val="32"/>
          <w:szCs w:val="32"/>
        </w:rPr>
        <w:t>预算持平，与2018年度决算支出持平。</w:t>
      </w:r>
    </w:p>
    <w:p>
      <w:pPr>
        <w:adjustRightInd w:val="0"/>
        <w:snapToGrid w:val="0"/>
        <w:spacing w:line="580" w:lineRule="exact"/>
        <w:ind w:firstLine="640" w:firstLineChars="200"/>
        <w:rPr>
          <w:rFonts w:hint="eastAsia" w:ascii="宋体" w:hAnsi="宋体" w:eastAsia="宋体" w:cs="宋体"/>
          <w:sz w:val="32"/>
          <w:szCs w:val="40"/>
        </w:rPr>
      </w:pPr>
      <w:r>
        <w:rPr>
          <w:rFonts w:hint="eastAsia" w:ascii="宋体" w:hAnsi="宋体" w:eastAsia="宋体" w:cs="宋体"/>
          <w:sz w:val="32"/>
          <w:szCs w:val="40"/>
        </w:rPr>
        <w:t>六、预算绩效情况说明</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 预算绩效管理工作开展情况。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预算绩效管理要求，本单位组织对2019年度一般公共预算项目支出全面开展绩效自评，其中，二级项目1个，共涉及资金40.9万元，占一般公共预算项目支出总额的7.55%。组织对“基本药物制度”项目开展了单位评价，涉及一般公共预算支出40.9万元。从评价情况来看，总体得分98.3分，评价等级为”优”。</w:t>
      </w:r>
    </w:p>
    <w:p>
      <w:pPr>
        <w:adjustRightInd w:val="0"/>
        <w:snapToGrid w:val="0"/>
        <w:spacing w:line="580" w:lineRule="exact"/>
        <w:ind w:left="420" w:leftChars="200" w:firstLine="321" w:firstLineChars="100"/>
        <w:rPr>
          <w:rFonts w:hint="eastAsia" w:ascii="宋体" w:hAnsi="宋体" w:eastAsia="宋体" w:cs="宋体"/>
          <w:b/>
          <w:bCs/>
          <w:sz w:val="32"/>
          <w:szCs w:val="32"/>
        </w:rPr>
      </w:pPr>
      <w:r>
        <w:rPr>
          <w:rFonts w:hint="eastAsia" w:ascii="宋体" w:hAnsi="宋体" w:eastAsia="宋体" w:cs="宋体"/>
          <w:b/>
          <w:bCs/>
          <w:sz w:val="32"/>
          <w:szCs w:val="32"/>
        </w:rPr>
        <w:t>2. 部门决算中项目绩效自评结果。</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本单位在今年部门决算公开中反映“基本药物制度”项目绩效自评结果。</w:t>
      </w:r>
    </w:p>
    <w:p>
      <w:pPr>
        <w:widowControl/>
        <w:spacing w:line="160" w:lineRule="atLeast"/>
        <w:ind w:firstLine="640" w:firstLineChars="200"/>
        <w:jc w:val="center"/>
        <w:rPr>
          <w:rFonts w:hint="eastAsia" w:ascii="宋体" w:hAnsi="宋体" w:eastAsia="宋体" w:cs="宋体"/>
          <w:sz w:val="32"/>
          <w:szCs w:val="32"/>
        </w:rPr>
      </w:pPr>
      <w:r>
        <w:rPr>
          <w:rFonts w:hint="eastAsia" w:ascii="宋体" w:hAnsi="宋体" w:eastAsia="宋体" w:cs="宋体"/>
          <w:sz w:val="32"/>
          <w:szCs w:val="32"/>
        </w:rPr>
        <w:t>“基本药物制度”项目自评综述：根据年初设定的绩效目标，“基本药物制度”项目绩效自评得分为98.3分（绩效自评表附后）。全年预算数为40.9万元，执行数为40.9万元，完成预算的100%。项目绩效目标完成情况：一是保证所有政府办基层医疗卫生机构实施国家基本药物制度，推进综合改革顺利进行</w:t>
      </w:r>
    </w:p>
    <w:p>
      <w:pPr>
        <w:pStyle w:val="8"/>
        <w:shd w:val="clear" w:color="auto" w:fill="FFFFFF"/>
        <w:spacing w:line="315" w:lineRule="atLeast"/>
        <w:ind w:firstLine="480"/>
        <w:rPr>
          <w:rFonts w:hint="eastAsia" w:ascii="宋体" w:hAnsi="宋体" w:eastAsia="宋体" w:cs="宋体"/>
          <w:color w:val="333333"/>
          <w:sz w:val="32"/>
        </w:rPr>
      </w:pPr>
      <w:r>
        <w:rPr>
          <w:rFonts w:hint="eastAsia" w:ascii="宋体" w:hAnsi="宋体" w:eastAsia="宋体" w:cs="宋体"/>
          <w:sz w:val="32"/>
          <w:szCs w:val="32"/>
        </w:rPr>
        <w:t>对实施国家基本药物制度的村卫生室给予补助，支付国家基本药物制度在村卫生室顺利实施　；二是保证所有政府办基层医疗卫生机构实施国家基本药物制度，推进综合改革顺利进行，已完成。对实施国家基本药物制度的村卫生室给予补助，支付国家基本药物制度在村卫生室顺利实施，已完成。发现的主要问题及原因：一是</w:t>
      </w:r>
      <w:r>
        <w:rPr>
          <w:rFonts w:hint="eastAsia" w:ascii="宋体" w:hAnsi="宋体" w:eastAsia="宋体" w:cs="宋体"/>
          <w:color w:val="333333"/>
          <w:sz w:val="32"/>
        </w:rPr>
        <w:t>基本药物政策性补助不足。基药制度实施前基层医疗卫生机构药品实际加成率约为45%左右，而上级基药补助则按15%进行测算，同时，实际执行补助时，采用的人口口径数偏小，致使补助资金数明显小于实际支出，基层医疗卫生机构因此运转困难。</w:t>
      </w:r>
      <w:r>
        <w:rPr>
          <w:rFonts w:hint="eastAsia" w:ascii="宋体" w:hAnsi="宋体" w:eastAsia="宋体" w:cs="宋体"/>
          <w:sz w:val="32"/>
          <w:szCs w:val="32"/>
        </w:rPr>
        <w:t>；二是</w:t>
      </w:r>
      <w:r>
        <w:rPr>
          <w:rFonts w:hint="eastAsia" w:ascii="宋体" w:hAnsi="宋体" w:eastAsia="宋体" w:cs="宋体"/>
          <w:color w:val="333333"/>
          <w:sz w:val="32"/>
        </w:rPr>
        <w:t>医疗卫生机构使用的药品价格相对固定，与药品零售店自主的定价机制比较起来，显得灵活性不足，削弱了医疗机构的竞争力</w:t>
      </w:r>
      <w:r>
        <w:rPr>
          <w:rFonts w:hint="eastAsia" w:ascii="宋体" w:hAnsi="宋体" w:eastAsia="宋体" w:cs="宋体"/>
          <w:sz w:val="32"/>
          <w:szCs w:val="32"/>
        </w:rPr>
        <w:t>。下一步改进措施：一是</w:t>
      </w:r>
      <w:r>
        <w:rPr>
          <w:rFonts w:hint="eastAsia" w:ascii="宋体" w:hAnsi="宋体" w:eastAsia="宋体" w:cs="宋体"/>
          <w:color w:val="333333"/>
          <w:sz w:val="32"/>
        </w:rPr>
        <w:t>建议进一步向上反映这一情况，确保基层医疗卫生机构可持续发展</w:t>
      </w:r>
      <w:r>
        <w:rPr>
          <w:rFonts w:hint="eastAsia" w:ascii="宋体" w:hAnsi="宋体" w:eastAsia="宋体" w:cs="宋体"/>
          <w:sz w:val="32"/>
          <w:szCs w:val="32"/>
        </w:rPr>
        <w:t>；二是</w:t>
      </w:r>
      <w:r>
        <w:rPr>
          <w:rFonts w:hint="eastAsia" w:ascii="宋体" w:hAnsi="宋体" w:eastAsia="宋体" w:cs="宋体"/>
          <w:color w:val="333333"/>
          <w:sz w:val="32"/>
        </w:rPr>
        <w:t>建议完善省级药物政策，完善省级药物采购平台的功能，为“医疗、医药、医保”三医联动奠定坚实的基础。</w:t>
      </w:r>
    </w:p>
    <w:p>
      <w:pPr>
        <w:keepNext/>
        <w:keepLines/>
        <w:snapToGrid w:val="0"/>
        <w:spacing w:line="580" w:lineRule="exact"/>
        <w:ind w:left="640"/>
        <w:outlineLvl w:val="1"/>
        <w:rPr>
          <w:rFonts w:hint="eastAsia" w:ascii="宋体" w:hAnsi="宋体" w:eastAsia="宋体" w:cs="宋体"/>
          <w:b/>
          <w:bCs/>
          <w:sz w:val="32"/>
          <w:szCs w:val="32"/>
        </w:rPr>
      </w:pPr>
      <w:r>
        <w:rPr>
          <w:rFonts w:hint="eastAsia" w:ascii="宋体" w:hAnsi="宋体" w:eastAsia="宋体" w:cs="宋体"/>
          <w:b/>
          <w:bCs/>
          <w:sz w:val="32"/>
          <w:szCs w:val="32"/>
        </w:rPr>
        <w:t>3.财政评价项目绩效评价结果</w:t>
      </w:r>
    </w:p>
    <w:tbl>
      <w:tblPr>
        <w:tblStyle w:val="11"/>
        <w:tblW w:w="8522" w:type="dxa"/>
        <w:tblInd w:w="0" w:type="dxa"/>
        <w:tblLayout w:type="fixed"/>
        <w:tblCellMar>
          <w:top w:w="0" w:type="dxa"/>
          <w:left w:w="108" w:type="dxa"/>
          <w:bottom w:w="0" w:type="dxa"/>
          <w:right w:w="108" w:type="dxa"/>
        </w:tblCellMar>
      </w:tblPr>
      <w:tblGrid>
        <w:gridCol w:w="1412"/>
        <w:gridCol w:w="1006"/>
        <w:gridCol w:w="910"/>
        <w:gridCol w:w="989"/>
        <w:gridCol w:w="86"/>
        <w:gridCol w:w="824"/>
        <w:gridCol w:w="1084"/>
        <w:gridCol w:w="1113"/>
        <w:gridCol w:w="1098"/>
      </w:tblGrid>
      <w:tr>
        <w:tblPrEx>
          <w:tblLayout w:type="fixed"/>
          <w:tblCellMar>
            <w:top w:w="0" w:type="dxa"/>
            <w:left w:w="108" w:type="dxa"/>
            <w:bottom w:w="0" w:type="dxa"/>
            <w:right w:w="108" w:type="dxa"/>
          </w:tblCellMar>
        </w:tblPrEx>
        <w:trPr>
          <w:trHeight w:val="474" w:hRule="atLeast"/>
        </w:trPr>
        <w:tc>
          <w:tcPr>
            <w:tcW w:w="8522" w:type="dxa"/>
            <w:gridSpan w:val="9"/>
            <w:tcBorders>
              <w:top w:val="nil"/>
              <w:left w:val="nil"/>
              <w:bottom w:val="nil"/>
              <w:right w:val="nil"/>
            </w:tcBorders>
            <w:shd w:val="clear" w:color="auto" w:fill="auto"/>
            <w:vAlign w:val="center"/>
          </w:tcPr>
          <w:p>
            <w:pPr>
              <w:widowControl/>
              <w:spacing w:line="160"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县级部门预算项目绩效自评表</w:t>
            </w:r>
          </w:p>
        </w:tc>
      </w:tr>
      <w:tr>
        <w:tblPrEx>
          <w:tblLayout w:type="fixed"/>
          <w:tblCellMar>
            <w:top w:w="0" w:type="dxa"/>
            <w:left w:w="108" w:type="dxa"/>
            <w:bottom w:w="0" w:type="dxa"/>
            <w:right w:w="108" w:type="dxa"/>
          </w:tblCellMar>
        </w:tblPrEx>
        <w:trPr>
          <w:trHeight w:val="282" w:hRule="atLeast"/>
        </w:trPr>
        <w:tc>
          <w:tcPr>
            <w:tcW w:w="8522" w:type="dxa"/>
            <w:gridSpan w:val="9"/>
            <w:tcBorders>
              <w:top w:val="nil"/>
              <w:left w:val="nil"/>
              <w:bottom w:val="nil"/>
              <w:right w:val="nil"/>
            </w:tcBorders>
            <w:shd w:val="clear" w:color="auto" w:fill="auto"/>
            <w:vAlign w:val="center"/>
          </w:tcPr>
          <w:p>
            <w:pPr>
              <w:widowControl/>
              <w:spacing w:line="160" w:lineRule="atLeast"/>
              <w:jc w:val="center"/>
              <w:rPr>
                <w:rFonts w:hint="eastAsia" w:ascii="宋体" w:hAnsi="宋体" w:eastAsia="宋体" w:cs="宋体"/>
                <w:color w:val="000000"/>
                <w:kern w:val="0"/>
                <w:sz w:val="22"/>
              </w:rPr>
            </w:pPr>
            <w:r>
              <w:rPr>
                <w:rFonts w:hint="eastAsia" w:ascii="宋体" w:hAnsi="宋体" w:eastAsia="宋体" w:cs="宋体"/>
                <w:color w:val="000000"/>
                <w:kern w:val="0"/>
                <w:sz w:val="22"/>
              </w:rPr>
              <w:t>（2019 年度）</w:t>
            </w:r>
          </w:p>
        </w:tc>
      </w:tr>
      <w:tr>
        <w:tblPrEx>
          <w:tblLayout w:type="fixed"/>
          <w:tblCellMar>
            <w:top w:w="0" w:type="dxa"/>
            <w:left w:w="108" w:type="dxa"/>
            <w:bottom w:w="0" w:type="dxa"/>
            <w:right w:w="108" w:type="dxa"/>
          </w:tblCellMar>
        </w:tblPrEx>
        <w:trPr>
          <w:trHeight w:val="222" w:hRule="atLeast"/>
        </w:trPr>
        <w:tc>
          <w:tcPr>
            <w:tcW w:w="1412"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填报单位：</w:t>
            </w:r>
          </w:p>
        </w:tc>
        <w:tc>
          <w:tcPr>
            <w:tcW w:w="1916" w:type="dxa"/>
            <w:gridSpan w:val="2"/>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阜城县卫健局</w:t>
            </w:r>
          </w:p>
        </w:tc>
        <w:tc>
          <w:tcPr>
            <w:tcW w:w="989"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910" w:type="dxa"/>
            <w:gridSpan w:val="2"/>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1084"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2211" w:type="dxa"/>
            <w:gridSpan w:val="2"/>
            <w:tcBorders>
              <w:top w:val="nil"/>
              <w:left w:val="nil"/>
              <w:bottom w:val="single" w:color="auto" w:sz="4" w:space="0"/>
              <w:right w:val="nil"/>
            </w:tcBorders>
            <w:shd w:val="clear" w:color="auto" w:fill="auto"/>
            <w:vAlign w:val="center"/>
          </w:tcPr>
          <w:p>
            <w:pPr>
              <w:widowControl/>
              <w:spacing w:line="160"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108" w:type="dxa"/>
            <w:bottom w:w="0" w:type="dxa"/>
            <w:right w:w="108" w:type="dxa"/>
          </w:tblCellMar>
        </w:tblPrEx>
        <w:trPr>
          <w:trHeight w:val="494" w:hRule="atLeast"/>
        </w:trPr>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一、基本情况</w:t>
            </w: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280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基本药物制度（专项资金）　</w:t>
            </w: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实施（主管）单位</w:t>
            </w:r>
          </w:p>
        </w:tc>
        <w:tc>
          <w:tcPr>
            <w:tcW w:w="221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十个乡镇卫生院　</w:t>
            </w:r>
          </w:p>
        </w:tc>
      </w:tr>
      <w:tr>
        <w:tblPrEx>
          <w:tblLayout w:type="fixed"/>
          <w:tblCellMar>
            <w:top w:w="0" w:type="dxa"/>
            <w:left w:w="108" w:type="dxa"/>
            <w:bottom w:w="0" w:type="dxa"/>
            <w:right w:w="108" w:type="dxa"/>
          </w:tblCellMar>
        </w:tblPrEx>
        <w:trPr>
          <w:trHeight w:val="459" w:hRule="atLeast"/>
        </w:trPr>
        <w:tc>
          <w:tcPr>
            <w:tcW w:w="14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二、预算执行情况</w:t>
            </w:r>
          </w:p>
        </w:tc>
        <w:tc>
          <w:tcPr>
            <w:tcW w:w="191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预算安排情况（调整后）</w:t>
            </w:r>
          </w:p>
        </w:tc>
        <w:tc>
          <w:tcPr>
            <w:tcW w:w="1899"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资金到位情况</w:t>
            </w:r>
          </w:p>
        </w:tc>
        <w:tc>
          <w:tcPr>
            <w:tcW w:w="219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资金执行情况</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预算执行进度</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409.29　</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到位数</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409.29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执行数</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337.95</w:t>
            </w:r>
          </w:p>
        </w:tc>
        <w:tc>
          <w:tcPr>
            <w:tcW w:w="109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83%</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409.29</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409.29</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337.95</w:t>
            </w:r>
          </w:p>
        </w:tc>
        <w:tc>
          <w:tcPr>
            <w:tcW w:w="1098"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44" w:hRule="atLeast"/>
        </w:trPr>
        <w:tc>
          <w:tcPr>
            <w:tcW w:w="14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三、目标完成情况</w:t>
            </w:r>
          </w:p>
        </w:tc>
        <w:tc>
          <w:tcPr>
            <w:tcW w:w="299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年度预期目标</w:t>
            </w:r>
          </w:p>
        </w:tc>
        <w:tc>
          <w:tcPr>
            <w:tcW w:w="3021"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具体完成情况</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总体完成率</w:t>
            </w:r>
          </w:p>
        </w:tc>
      </w:tr>
      <w:tr>
        <w:tblPrEx>
          <w:tblLayout w:type="fixed"/>
          <w:tblCellMar>
            <w:top w:w="0" w:type="dxa"/>
            <w:left w:w="108" w:type="dxa"/>
            <w:bottom w:w="0" w:type="dxa"/>
            <w:right w:w="108" w:type="dxa"/>
          </w:tblCellMar>
        </w:tblPrEx>
        <w:trPr>
          <w:trHeight w:val="1527"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299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保证所有政府办基层医疗卫生机构实施国家基本药物制度，推进综合改革顺利进行</w:t>
            </w:r>
          </w:p>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对实施国家基本药物制度的村卫生室给予补助，支付国家基本药物制度在村卫生室顺利实施　</w:t>
            </w:r>
          </w:p>
        </w:tc>
        <w:tc>
          <w:tcPr>
            <w:tcW w:w="3021"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保证所有政府办基层医疗卫生机构实施国家基本药物制度，推进综合改革顺利进行，已完成。对实施国家基本药物制度的村卫生室给予补助，支付国家基本药物制度在村卫生室顺利实施，已完成。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　100%</w:t>
            </w:r>
          </w:p>
        </w:tc>
      </w:tr>
      <w:tr>
        <w:tblPrEx>
          <w:tblLayout w:type="fixed"/>
          <w:tblCellMar>
            <w:top w:w="0" w:type="dxa"/>
            <w:left w:w="108" w:type="dxa"/>
            <w:bottom w:w="0" w:type="dxa"/>
            <w:right w:w="108" w:type="dxa"/>
          </w:tblCellMar>
        </w:tblPrEx>
        <w:trPr>
          <w:trHeight w:val="417" w:hRule="atLeast"/>
        </w:trPr>
        <w:tc>
          <w:tcPr>
            <w:tcW w:w="141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四、年度绩效指标完成情况</w:t>
            </w: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预期指标值</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实际完成值</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自评得分</w:t>
            </w:r>
          </w:p>
        </w:tc>
      </w:tr>
      <w:tr>
        <w:tblPrEx>
          <w:tblLayout w:type="fixed"/>
          <w:tblCellMar>
            <w:top w:w="0" w:type="dxa"/>
            <w:left w:w="108" w:type="dxa"/>
            <w:bottom w:w="0" w:type="dxa"/>
            <w:right w:w="108" w:type="dxa"/>
          </w:tblCellMar>
        </w:tblPrEx>
        <w:trPr>
          <w:trHeight w:val="857"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产出指标（50分）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rPr>
              <w:t>政府办基层医疗卫生机构实施国家基本药物制度覆盖率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1098" w:type="dxa"/>
            <w:vMerge w:val="restart"/>
            <w:tcBorders>
              <w:top w:val="nil"/>
              <w:left w:val="nil"/>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村卫生室实施国家基本药物制度覆盖率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　</w:t>
            </w:r>
          </w:p>
        </w:tc>
        <w:tc>
          <w:tcPr>
            <w:tcW w:w="1098" w:type="dxa"/>
            <w:vMerge w:val="continue"/>
            <w:tcBorders>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效益指标（30分）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乡村医生收入</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保持稳定</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保持稳定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30</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666"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可持续影响指标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国家基本药物制度在基层持续实施</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中长期</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中长期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服务人群满意度</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非常满意</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非常满意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w:t>
            </w:r>
          </w:p>
        </w:tc>
      </w:tr>
      <w:tr>
        <w:tblPrEx>
          <w:tblLayout w:type="fixed"/>
          <w:tblCellMar>
            <w:top w:w="0" w:type="dxa"/>
            <w:left w:w="108" w:type="dxa"/>
            <w:bottom w:w="0" w:type="dxa"/>
            <w:right w:w="108" w:type="dxa"/>
          </w:tblCellMar>
        </w:tblPrEx>
        <w:trPr>
          <w:trHeight w:val="90"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center"/>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预算执行率（10分）</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83%</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8.3</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6012"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98.3</w:t>
            </w:r>
          </w:p>
        </w:tc>
      </w:tr>
      <w:tr>
        <w:tblPrEx>
          <w:tblLayout w:type="fixed"/>
          <w:tblCellMar>
            <w:top w:w="0" w:type="dxa"/>
            <w:left w:w="108" w:type="dxa"/>
            <w:bottom w:w="0" w:type="dxa"/>
            <w:right w:w="108" w:type="dxa"/>
          </w:tblCellMar>
        </w:tblPrEx>
        <w:trPr>
          <w:trHeight w:val="857" w:hRule="atLeast"/>
        </w:trPr>
        <w:tc>
          <w:tcPr>
            <w:tcW w:w="1412" w:type="dxa"/>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五、存在问题、原因及下一步整改措施</w:t>
            </w:r>
          </w:p>
        </w:tc>
        <w:tc>
          <w:tcPr>
            <w:tcW w:w="7110"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p>
        </w:tc>
      </w:tr>
    </w:tbl>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七、其他重要事项的说明</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（一）机关运行经费情况</w:t>
      </w:r>
    </w:p>
    <w:p>
      <w:pPr>
        <w:adjustRightInd w:val="0"/>
        <w:snapToGrid w:val="0"/>
        <w:spacing w:after="0"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本部门2019年度机关运行经费支出0万元，</w:t>
      </w:r>
      <w:r>
        <w:rPr>
          <w:rFonts w:hint="eastAsia" w:ascii="宋体" w:hAnsi="宋体" w:eastAsia="宋体" w:cs="宋体"/>
          <w:sz w:val="32"/>
          <w:szCs w:val="32"/>
          <w:lang w:eastAsia="zh-CN"/>
        </w:rPr>
        <w:t>与年初预算持平，</w:t>
      </w:r>
      <w:r>
        <w:rPr>
          <w:rFonts w:hint="eastAsia" w:ascii="宋体" w:hAnsi="宋体" w:eastAsia="宋体" w:cs="宋体"/>
          <w:sz w:val="32"/>
          <w:szCs w:val="32"/>
        </w:rPr>
        <w:t>与2018年度持平。主要原因是</w:t>
      </w:r>
      <w:r>
        <w:rPr>
          <w:rFonts w:hint="eastAsia" w:ascii="宋体" w:hAnsi="宋体" w:eastAsia="宋体" w:cs="宋体"/>
          <w:sz w:val="32"/>
          <w:szCs w:val="32"/>
          <w:lang w:eastAsia="zh-CN"/>
        </w:rPr>
        <w:t>机关运行经费填列行政单位和参照公务员法管理的事业单位使用一般公共预算财政拨款安排的基本支出中的日常公用经费支出，本单位性质为财政补助事业单位，所以机关运行经费支出为</w:t>
      </w:r>
      <w:r>
        <w:rPr>
          <w:rFonts w:hint="eastAsia" w:ascii="宋体" w:hAnsi="宋体" w:eastAsia="宋体" w:cs="宋体"/>
          <w:sz w:val="32"/>
          <w:szCs w:val="32"/>
          <w:lang w:val="en-US" w:eastAsia="zh-CN"/>
        </w:rPr>
        <w:t>0万元。</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（二）政府采购情况</w:t>
      </w:r>
    </w:p>
    <w:p>
      <w:pPr>
        <w:snapToGrid w:val="0"/>
        <w:spacing w:line="580" w:lineRule="exact"/>
        <w:ind w:firstLine="640" w:firstLineChars="200"/>
        <w:jc w:val="left"/>
        <w:rPr>
          <w:rFonts w:hint="eastAsia" w:ascii="宋体" w:hAnsi="宋体" w:eastAsia="宋体" w:cs="宋体"/>
          <w:sz w:val="32"/>
          <w:szCs w:val="32"/>
          <w:lang w:eastAsia="zh-CN"/>
        </w:rPr>
      </w:pPr>
      <w:r>
        <w:rPr>
          <w:rFonts w:hint="eastAsia" w:ascii="宋体" w:hAnsi="宋体" w:eastAsia="宋体" w:cs="宋体"/>
          <w:sz w:val="32"/>
          <w:szCs w:val="32"/>
        </w:rPr>
        <w:t>本部门2019年度政府采购支出总额0万元，从采购类型来看，</w:t>
      </w:r>
      <w:r>
        <w:rPr>
          <w:rFonts w:hint="eastAsia" w:ascii="宋体" w:hAnsi="宋体" w:eastAsia="宋体" w:cs="宋体"/>
          <w:color w:val="000000"/>
          <w:kern w:val="0"/>
          <w:sz w:val="32"/>
          <w:szCs w:val="32"/>
        </w:rPr>
        <w:t>政府采购货物支出0 万元、政府采购工程支出0万元、政府采购服务支出0万元。授予中小企业合同金0万元，占政府采购支出总额的0%，其中授予小微企业合同金额0万元，占政府采购支出总额的 0%。</w:t>
      </w:r>
      <w:r>
        <w:rPr>
          <w:rFonts w:hint="eastAsia" w:ascii="宋体" w:hAnsi="宋体" w:eastAsia="宋体" w:cs="宋体"/>
          <w:color w:val="000000"/>
          <w:kern w:val="0"/>
          <w:sz w:val="32"/>
          <w:szCs w:val="32"/>
          <w:lang w:eastAsia="zh-CN"/>
        </w:rPr>
        <w:t>与上年决算持平。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（三）国有资产占用情况</w:t>
      </w:r>
    </w:p>
    <w:p>
      <w:pPr>
        <w:adjustRightInd w:val="0"/>
        <w:snapToGrid w:val="0"/>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截至201</w:t>
      </w:r>
      <w:r>
        <w:rPr>
          <w:rFonts w:hint="eastAsia" w:ascii="宋体" w:hAnsi="宋体" w:eastAsia="宋体" w:cs="宋体"/>
          <w:sz w:val="32"/>
          <w:szCs w:val="32"/>
          <w:lang w:val="en-US" w:eastAsia="zh-CN"/>
        </w:rPr>
        <w:t>9</w:t>
      </w:r>
      <w:r>
        <w:rPr>
          <w:rFonts w:hint="eastAsia" w:ascii="宋体" w:hAnsi="宋体" w:eastAsia="宋体" w:cs="宋体"/>
          <w:sz w:val="32"/>
          <w:szCs w:val="32"/>
        </w:rPr>
        <w:t>年12月31日，本部门共有车辆</w:t>
      </w:r>
      <w:r>
        <w:rPr>
          <w:rFonts w:hint="eastAsia" w:ascii="宋体" w:hAnsi="宋体" w:eastAsia="宋体" w:cs="宋体"/>
          <w:sz w:val="32"/>
          <w:szCs w:val="32"/>
          <w:lang w:val="en-US" w:eastAsia="zh-CN"/>
        </w:rPr>
        <w:t>0</w:t>
      </w:r>
      <w:r>
        <w:rPr>
          <w:rFonts w:hint="eastAsia" w:ascii="宋体" w:hAnsi="宋体" w:eastAsia="宋体" w:cs="宋体"/>
          <w:sz w:val="32"/>
          <w:szCs w:val="32"/>
        </w:rPr>
        <w:t>辆，比上年增加</w:t>
      </w:r>
      <w:r>
        <w:rPr>
          <w:rFonts w:hint="eastAsia" w:ascii="宋体" w:hAnsi="宋体" w:eastAsia="宋体" w:cs="宋体"/>
          <w:sz w:val="32"/>
          <w:szCs w:val="32"/>
          <w:lang w:val="en-US" w:eastAsia="zh-CN"/>
        </w:rPr>
        <w:t>0</w:t>
      </w:r>
      <w:r>
        <w:rPr>
          <w:rFonts w:hint="eastAsia" w:ascii="宋体" w:hAnsi="宋体" w:eastAsia="宋体" w:cs="宋体"/>
          <w:sz w:val="32"/>
          <w:szCs w:val="32"/>
        </w:rPr>
        <w:t>辆。其中，副部（省）级及以上领导用车</w:t>
      </w:r>
      <w:r>
        <w:rPr>
          <w:rFonts w:hint="eastAsia" w:ascii="宋体" w:hAnsi="宋体" w:eastAsia="宋体" w:cs="宋体"/>
          <w:sz w:val="32"/>
          <w:szCs w:val="32"/>
          <w:lang w:val="en-US" w:eastAsia="zh-CN"/>
        </w:rPr>
        <w:t>0</w:t>
      </w:r>
      <w:r>
        <w:rPr>
          <w:rFonts w:hint="eastAsia" w:ascii="宋体" w:hAnsi="宋体" w:eastAsia="宋体" w:cs="宋体"/>
          <w:sz w:val="32"/>
          <w:szCs w:val="32"/>
        </w:rPr>
        <w:t>辆，主要领导干部用车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辆，机要通信用车</w:t>
      </w:r>
      <w:r>
        <w:rPr>
          <w:rFonts w:hint="eastAsia" w:ascii="宋体" w:hAnsi="宋体" w:eastAsia="宋体" w:cs="宋体"/>
          <w:sz w:val="32"/>
          <w:szCs w:val="32"/>
          <w:lang w:val="en-US" w:eastAsia="zh-CN"/>
        </w:rPr>
        <w:t>0</w:t>
      </w:r>
      <w:r>
        <w:rPr>
          <w:rFonts w:hint="eastAsia" w:ascii="宋体" w:hAnsi="宋体" w:eastAsia="宋体" w:cs="宋体"/>
          <w:sz w:val="32"/>
          <w:szCs w:val="32"/>
        </w:rPr>
        <w:t>辆，应急保障用车</w:t>
      </w:r>
      <w:r>
        <w:rPr>
          <w:rFonts w:hint="eastAsia" w:ascii="宋体" w:hAnsi="宋体" w:eastAsia="宋体" w:cs="宋体"/>
          <w:sz w:val="32"/>
          <w:szCs w:val="32"/>
          <w:lang w:val="en-US" w:eastAsia="zh-CN"/>
        </w:rPr>
        <w:t>0</w:t>
      </w:r>
      <w:r>
        <w:rPr>
          <w:rFonts w:hint="eastAsia" w:ascii="宋体" w:hAnsi="宋体" w:eastAsia="宋体" w:cs="宋体"/>
          <w:sz w:val="32"/>
          <w:szCs w:val="32"/>
        </w:rPr>
        <w:t>辆，执法执勤用车</w:t>
      </w:r>
      <w:r>
        <w:rPr>
          <w:rFonts w:hint="eastAsia" w:ascii="宋体" w:hAnsi="宋体" w:eastAsia="宋体" w:cs="宋体"/>
          <w:sz w:val="32"/>
          <w:szCs w:val="32"/>
          <w:lang w:val="en-US" w:eastAsia="zh-CN"/>
        </w:rPr>
        <w:t>0</w:t>
      </w:r>
      <w:r>
        <w:rPr>
          <w:rFonts w:hint="eastAsia" w:ascii="宋体" w:hAnsi="宋体" w:eastAsia="宋体" w:cs="宋体"/>
          <w:sz w:val="32"/>
          <w:szCs w:val="32"/>
        </w:rPr>
        <w:t>辆，特种专业技术用车</w:t>
      </w:r>
      <w:r>
        <w:rPr>
          <w:rFonts w:hint="eastAsia" w:ascii="宋体" w:hAnsi="宋体" w:eastAsia="宋体" w:cs="宋体"/>
          <w:sz w:val="32"/>
          <w:szCs w:val="32"/>
          <w:lang w:val="en-US" w:eastAsia="zh-CN"/>
        </w:rPr>
        <w:t>0</w:t>
      </w:r>
      <w:r>
        <w:rPr>
          <w:rFonts w:hint="eastAsia" w:ascii="宋体" w:hAnsi="宋体" w:eastAsia="宋体" w:cs="宋体"/>
          <w:sz w:val="32"/>
          <w:szCs w:val="32"/>
        </w:rPr>
        <w:t>辆，离退休干部用车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辆，其他用车</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zCs w:val="32"/>
          <w:lang w:eastAsia="zh-CN"/>
        </w:rPr>
        <w:t>。与上年决算相比持平。</w:t>
      </w:r>
    </w:p>
    <w:p>
      <w:pPr>
        <w:adjustRightInd w:val="0"/>
        <w:snapToGrid w:val="0"/>
        <w:spacing w:line="580" w:lineRule="exact"/>
        <w:ind w:firstLine="640" w:firstLineChars="200"/>
        <w:rPr>
          <w:rFonts w:hint="eastAsia" w:ascii="宋体" w:hAnsi="宋体" w:eastAsia="宋体" w:cs="宋体"/>
          <w:b/>
          <w:bCs/>
          <w:sz w:val="32"/>
          <w:szCs w:val="32"/>
        </w:rPr>
      </w:pPr>
      <w:r>
        <w:rPr>
          <w:rFonts w:hint="eastAsia" w:ascii="宋体" w:hAnsi="宋体" w:eastAsia="宋体" w:cs="宋体"/>
          <w:sz w:val="32"/>
          <w:szCs w:val="32"/>
        </w:rPr>
        <w:t>单位价值50万元以上通用设备0台（套），与上年持平，单位价值100万元以上专用设备0台（套）,与上年持平。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（四）其他需要说明的情况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 本部门本年度无“三公”经费支出预决算情况，故一般公共预算财政拨款“三公”经费支出决算表以空表列示；本年度无政府性基金预算财政拨款收入、支出及结转和结余情况，故政府性基金预算财政拨款收入支出决算表以空表列示；本年度无国有资本经营预算财政拨款支出情况，故国有资本经营预算财政拨款支出决算表以空表列示。</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hint="eastAsia" w:ascii="宋体" w:hAnsi="宋体" w:eastAsia="宋体" w:cs="宋体"/>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hint="eastAsia" w:ascii="宋体" w:hAnsi="宋体" w:eastAsia="宋体" w:cs="宋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72"/>
        </w:rPr>
      </w:pPr>
      <w:r>
        <w:rPr>
          <w:rFonts w:hint="eastAsia" w:ascii="宋体" w:hAnsi="宋体" w:eastAsia="宋体" w:cs="宋体"/>
          <w:sz w:val="72"/>
        </w:rPr>
        <w:pict>
          <v:shape id="_x0000_s1029" o:spid="_x0000_s1029"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1" focussize="0,0" r:id="rId3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886"/>
        </w:tabs>
        <w:jc w:val="left"/>
        <w:rPr>
          <w:rFonts w:hint="eastAsia" w:ascii="宋体" w:hAnsi="宋体" w:eastAsia="宋体" w:cs="宋体"/>
        </w:rPr>
        <w:sectPr>
          <w:headerReference r:id="rId24" w:type="first"/>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32"/>
          <w:szCs w:val="32"/>
          <w:highlight w:val="yellow"/>
        </w:rPr>
      </w:pPr>
      <w:r>
        <w:rPr>
          <w:rFonts w:hint="eastAsia" w:ascii="宋体" w:hAnsi="宋体" w:eastAsia="宋体" w:cs="宋体"/>
          <w:sz w:val="32"/>
          <w:szCs w:val="32"/>
          <w:highlight w:val="yellow"/>
        </w:rPr>
        <w:br w:type="page"/>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（二）事业收入：</w:t>
      </w:r>
      <w:r>
        <w:rPr>
          <w:rFonts w:hint="eastAsia" w:ascii="宋体" w:hAnsi="宋体" w:eastAsia="宋体" w:cs="宋体"/>
          <w:color w:val="000000"/>
          <w:kern w:val="0"/>
          <w:sz w:val="32"/>
          <w:szCs w:val="32"/>
        </w:rPr>
        <w:t>指事业单位开展专业业务活动及辅助活动所取得的收入。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（三）其他收入：</w:t>
      </w:r>
      <w:r>
        <w:rPr>
          <w:rFonts w:hint="eastAsia" w:ascii="宋体" w:hAnsi="宋体" w:eastAsia="宋体" w:cs="宋体"/>
          <w:color w:val="000000"/>
          <w:kern w:val="0"/>
          <w:sz w:val="32"/>
          <w:szCs w:val="32"/>
        </w:rPr>
        <w:t>指除上述“财政拨款收入”“事业收入”“经营收入”等以外的收入。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（四）用事业基金弥补收支差额：</w:t>
      </w:r>
      <w:r>
        <w:rPr>
          <w:rFonts w:hint="eastAsia" w:ascii="宋体" w:hAnsi="宋体" w:eastAsia="宋体" w:cs="宋体"/>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（五）年初结转和结余：</w:t>
      </w:r>
      <w:r>
        <w:rPr>
          <w:rFonts w:hint="eastAsia" w:ascii="宋体" w:hAnsi="宋体" w:eastAsia="宋体" w:cs="宋体"/>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（六）结余分配：</w:t>
      </w:r>
      <w:r>
        <w:rPr>
          <w:rFonts w:hint="eastAsia" w:ascii="宋体" w:hAnsi="宋体" w:eastAsia="宋体" w:cs="宋体"/>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（七）年末结转和结余：</w:t>
      </w:r>
      <w:r>
        <w:rPr>
          <w:rFonts w:hint="eastAsia" w:ascii="宋体" w:hAnsi="宋体" w:eastAsia="宋体" w:cs="宋体"/>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（八）基本支出：</w:t>
      </w:r>
      <w:r>
        <w:rPr>
          <w:rFonts w:hint="eastAsia" w:ascii="宋体" w:hAnsi="宋体" w:eastAsia="宋体" w:cs="宋体"/>
          <w:color w:val="000000"/>
          <w:kern w:val="0"/>
          <w:sz w:val="32"/>
          <w:szCs w:val="32"/>
        </w:rPr>
        <w:t>填列单位为保障机构正常运转、完成日常工作任务而发生的各项支出。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（九）项目支出：</w:t>
      </w:r>
      <w:r>
        <w:rPr>
          <w:rFonts w:hint="eastAsia" w:ascii="宋体" w:hAnsi="宋体" w:eastAsia="宋体" w:cs="宋体"/>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（十）基本建设支出：</w:t>
      </w:r>
      <w:r>
        <w:rPr>
          <w:rFonts w:hint="eastAsia" w:ascii="宋体" w:hAnsi="宋体" w:eastAsia="宋体" w:cs="宋体"/>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（十一）其他资本性支出：</w:t>
      </w:r>
      <w:r>
        <w:rPr>
          <w:rFonts w:hint="eastAsia" w:ascii="宋体" w:hAnsi="宋体" w:eastAsia="宋体" w:cs="宋体"/>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（十二）“三公”经费：</w:t>
      </w:r>
      <w:r>
        <w:rPr>
          <w:rFonts w:hint="eastAsia" w:ascii="宋体" w:hAnsi="宋体" w:eastAsia="宋体" w:cs="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（十三）其他交通费用：</w:t>
      </w:r>
      <w:r>
        <w:rPr>
          <w:rFonts w:hint="eastAsia" w:ascii="宋体" w:hAnsi="宋体" w:eastAsia="宋体" w:cs="宋体"/>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（十四）公务用车购置：</w:t>
      </w:r>
      <w:r>
        <w:rPr>
          <w:rFonts w:hint="eastAsia" w:ascii="宋体" w:hAnsi="宋体" w:eastAsia="宋体" w:cs="宋体"/>
          <w:color w:val="000000"/>
          <w:kern w:val="0"/>
          <w:sz w:val="32"/>
          <w:szCs w:val="32"/>
        </w:rPr>
        <w:t>填列单位公务用车车辆购置支出（含车辆购置税、牌照费）。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（十五）其他交通工具购置：</w:t>
      </w:r>
      <w:r>
        <w:rPr>
          <w:rFonts w:hint="eastAsia" w:ascii="宋体" w:hAnsi="宋体" w:eastAsia="宋体" w:cs="宋体"/>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（十六）机关运行经费：</w:t>
      </w:r>
      <w:r>
        <w:rPr>
          <w:rFonts w:hint="eastAsia" w:ascii="宋体" w:hAnsi="宋体" w:eastAsia="宋体" w:cs="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hint="eastAsia" w:ascii="宋体" w:hAnsi="宋体" w:eastAsia="宋体" w:cs="宋体"/>
          <w:kern w:val="0"/>
          <w:sz w:val="32"/>
          <w:szCs w:val="32"/>
        </w:rPr>
      </w:pPr>
      <w:r>
        <w:rPr>
          <w:rFonts w:hint="eastAsia" w:ascii="宋体" w:hAnsi="宋体" w:eastAsia="宋体" w:cs="宋体"/>
          <w:b/>
          <w:bCs/>
          <w:color w:val="000000"/>
          <w:kern w:val="0"/>
          <w:sz w:val="32"/>
          <w:szCs w:val="32"/>
        </w:rPr>
        <w:t>（十七）经费形式:</w:t>
      </w:r>
      <w:r>
        <w:rPr>
          <w:rFonts w:hint="eastAsia" w:ascii="宋体" w:hAnsi="宋体" w:eastAsia="宋体" w:cs="宋体"/>
          <w:color w:val="000000"/>
          <w:kern w:val="0"/>
          <w:sz w:val="32"/>
          <w:szCs w:val="32"/>
        </w:rPr>
        <w:t>按照经费来源，</w:t>
      </w:r>
      <w:r>
        <w:rPr>
          <w:rFonts w:hint="eastAsia" w:ascii="宋体" w:hAnsi="宋体" w:eastAsia="宋体" w:cs="宋体"/>
          <w:kern w:val="0"/>
          <w:sz w:val="32"/>
          <w:szCs w:val="32"/>
        </w:rPr>
        <w:t>可分为财政拨款、财政性资金基本保证、财政性资金定额或定项补助、财政性资金零补助四类。</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rPr>
        <w:sectPr>
          <w:headerReference r:id="rId25"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rPr>
          <w:rFonts w:hint="eastAsia" w:ascii="宋体" w:hAnsi="宋体" w:eastAsia="宋体" w:cs="宋体"/>
        </w:rPr>
        <w:sectPr>
          <w:pgSz w:w="11906" w:h="16838"/>
          <w:pgMar w:top="2098" w:right="1474" w:bottom="1985" w:left="1588" w:header="851" w:footer="992" w:gutter="0"/>
          <w:pgNumType w:fmt="numberInDash"/>
          <w:cols w:space="425" w:num="1"/>
          <w:docGrid w:type="lines" w:linePitch="312" w:charSpace="0"/>
        </w:sectPr>
      </w:pPr>
      <w:r>
        <w:rPr>
          <w:rFonts w:hint="eastAsia" w:ascii="宋体" w:hAnsi="宋体" w:eastAsia="宋体" w:cs="宋体"/>
          <w:sz w:val="72"/>
        </w:rPr>
        <w:pict>
          <v:shape id="_x0000_s1028" o:spid="_x0000_s1028"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color2="#FFFFFF" o:title="image1" focussize="0,0" r:id="rId3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886"/>
        </w:tabs>
        <w:jc w:val="left"/>
        <w:rPr>
          <w:rFonts w:hint="eastAsia" w:ascii="宋体" w:hAnsi="宋体" w:eastAsia="宋体" w:cs="宋体"/>
        </w:rPr>
      </w:pPr>
    </w:p>
    <w:p>
      <w:pPr>
        <w:jc w:val="left"/>
        <w:rPr>
          <w:rFonts w:hint="eastAsia" w:ascii="宋体" w:hAnsi="宋体" w:eastAsia="宋体" w:cs="宋体"/>
        </w:rPr>
      </w:pPr>
    </w:p>
    <w:p>
      <w:pPr>
        <w:rPr>
          <w:rFonts w:hint="eastAsia" w:ascii="宋体" w:hAnsi="宋体" w:eastAsia="宋体" w:cs="宋体"/>
        </w:rPr>
      </w:pPr>
      <w:r>
        <w:rPr>
          <w:rFonts w:hint="eastAsia" w:ascii="宋体" w:hAnsi="宋体" w:eastAsia="宋体" w:cs="宋体"/>
        </w:rPr>
        <w:drawing>
          <wp:inline distT="0" distB="0" distL="0" distR="0">
            <wp:extent cx="5760720" cy="613283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31"/>
                    <a:srcRect/>
                    <a:stretch>
                      <a:fillRect/>
                    </a:stretch>
                  </pic:blipFill>
                  <pic:spPr>
                    <a:xfrm>
                      <a:off x="0" y="0"/>
                      <a:ext cx="5760720" cy="6132994"/>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Pr>
          <w:rFonts w:hint="eastAsia" w:ascii="宋体" w:hAnsi="宋体" w:eastAsia="宋体" w:cs="宋体"/>
        </w:rPr>
      </w:pPr>
    </w:p>
    <w:p>
      <w:pPr>
        <w:jc w:val="left"/>
        <w:rPr>
          <w:rFonts w:hint="eastAsia" w:ascii="宋体" w:hAnsi="宋体" w:eastAsia="宋体" w:cs="宋体"/>
        </w:rPr>
      </w:pPr>
    </w:p>
    <w:p>
      <w:pPr>
        <w:rPr>
          <w:rFonts w:hint="eastAsia" w:ascii="宋体" w:hAnsi="宋体" w:eastAsia="宋体" w:cs="宋体"/>
        </w:rPr>
      </w:pPr>
      <w:r>
        <w:rPr>
          <w:rFonts w:hint="eastAsia" w:ascii="宋体" w:hAnsi="宋体" w:eastAsia="宋体" w:cs="宋体"/>
        </w:rPr>
        <w:drawing>
          <wp:inline distT="0" distB="0" distL="0" distR="0">
            <wp:extent cx="5760720" cy="4862195"/>
            <wp:effectExtent l="1905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32"/>
                    <a:srcRect/>
                    <a:stretch>
                      <a:fillRect/>
                    </a:stretch>
                  </pic:blipFill>
                  <pic:spPr>
                    <a:xfrm>
                      <a:off x="0" y="0"/>
                      <a:ext cx="5760720" cy="4862420"/>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4999990"/>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33"/>
                    <a:srcRect/>
                    <a:stretch>
                      <a:fillRect/>
                    </a:stretch>
                  </pic:blipFill>
                  <pic:spPr>
                    <a:xfrm>
                      <a:off x="0" y="0"/>
                      <a:ext cx="5760720" cy="5000066"/>
                    </a:xfrm>
                    <a:prstGeom prst="rect">
                      <a:avLst/>
                    </a:prstGeom>
                    <a:noFill/>
                    <a:ln w="9525">
                      <a:noFill/>
                      <a:miter lim="800000"/>
                      <a:headEnd/>
                      <a:tailEnd/>
                    </a:ln>
                  </pic:spPr>
                </pic:pic>
              </a:graphicData>
            </a:graphic>
          </wp:inline>
        </w:drawing>
      </w:r>
    </w:p>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6157595"/>
            <wp:effectExtent l="19050" t="0" r="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noChangeArrowheads="1"/>
                    </pic:cNvPicPr>
                  </pic:nvPicPr>
                  <pic:blipFill>
                    <a:blip r:embed="rId34"/>
                    <a:srcRect/>
                    <a:stretch>
                      <a:fillRect/>
                    </a:stretch>
                  </pic:blipFill>
                  <pic:spPr>
                    <a:xfrm>
                      <a:off x="0" y="0"/>
                      <a:ext cx="5760720" cy="6158103"/>
                    </a:xfrm>
                    <a:prstGeom prst="rect">
                      <a:avLst/>
                    </a:prstGeom>
                    <a:noFill/>
                    <a:ln w="9525">
                      <a:noFill/>
                      <a:miter lim="800000"/>
                      <a:headEnd/>
                      <a:tailEnd/>
                    </a:ln>
                  </pic:spPr>
                </pic:pic>
              </a:graphicData>
            </a:graphic>
          </wp:inline>
        </w:drawing>
      </w:r>
    </w:p>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4156710"/>
            <wp:effectExtent l="19050" t="0" r="0" b="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35"/>
                    <a:srcRect/>
                    <a:stretch>
                      <a:fillRect/>
                    </a:stretch>
                  </pic:blipFill>
                  <pic:spPr>
                    <a:xfrm>
                      <a:off x="0" y="0"/>
                      <a:ext cx="5760720" cy="4157328"/>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5894070"/>
            <wp:effectExtent l="19050" t="0" r="0"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noChangeArrowheads="1"/>
                    </pic:cNvPicPr>
                  </pic:nvPicPr>
                  <pic:blipFill>
                    <a:blip r:embed="rId36"/>
                    <a:srcRect/>
                    <a:stretch>
                      <a:fillRect/>
                    </a:stretch>
                  </pic:blipFill>
                  <pic:spPr>
                    <a:xfrm>
                      <a:off x="0" y="0"/>
                      <a:ext cx="5760720" cy="5894540"/>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drawing>
          <wp:inline distT="0" distB="0" distL="0" distR="0">
            <wp:extent cx="5760720" cy="1990725"/>
            <wp:effectExtent l="1905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noChangeArrowheads="1"/>
                    </pic:cNvPicPr>
                  </pic:nvPicPr>
                  <pic:blipFill>
                    <a:blip r:embed="rId37"/>
                    <a:srcRect/>
                    <a:stretch>
                      <a:fillRect/>
                    </a:stretch>
                  </pic:blipFill>
                  <pic:spPr>
                    <a:xfrm>
                      <a:off x="0" y="0"/>
                      <a:ext cx="5760720" cy="1991300"/>
                    </a:xfrm>
                    <a:prstGeom prst="rect">
                      <a:avLst/>
                    </a:prstGeom>
                    <a:noFill/>
                    <a:ln w="9525">
                      <a:noFill/>
                      <a:miter lim="800000"/>
                      <a:headEnd/>
                      <a:tailEnd/>
                    </a:ln>
                  </pic:spPr>
                </pic:pic>
              </a:graphicData>
            </a:graphic>
          </wp:inline>
        </w:drawing>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2799715"/>
            <wp:effectExtent l="19050" t="0" r="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noChangeArrowheads="1"/>
                    </pic:cNvPicPr>
                  </pic:nvPicPr>
                  <pic:blipFill>
                    <a:blip r:embed="rId38"/>
                    <a:srcRect/>
                    <a:stretch>
                      <a:fillRect/>
                    </a:stretch>
                  </pic:blipFill>
                  <pic:spPr>
                    <a:xfrm>
                      <a:off x="0" y="0"/>
                      <a:ext cx="5760720" cy="2800335"/>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
        <w:rPr>
          <w:rFonts w:hint="eastAsia" w:ascii="宋体" w:hAnsi="宋体" w:eastAsia="宋体" w:cs="宋体"/>
        </w:rPr>
        <w:drawing>
          <wp:inline distT="0" distB="0" distL="0" distR="0">
            <wp:extent cx="5760720" cy="2499360"/>
            <wp:effectExtent l="19050" t="0" r="0" b="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noChangeArrowheads="1"/>
                    </pic:cNvPicPr>
                  </pic:nvPicPr>
                  <pic:blipFill>
                    <a:blip r:embed="rId39"/>
                    <a:srcRect/>
                    <a:stretch>
                      <a:fillRect/>
                    </a:stretch>
                  </pic:blipFill>
                  <pic:spPr>
                    <a:xfrm>
                      <a:off x="0" y="0"/>
                      <a:ext cx="5760720" cy="2499488"/>
                    </a:xfrm>
                    <a:prstGeom prst="rect">
                      <a:avLst/>
                    </a:prstGeom>
                    <a:noFill/>
                    <a:ln w="9525">
                      <a:noFill/>
                      <a:miter lim="800000"/>
                      <a:headEnd/>
                      <a:tailEnd/>
                    </a:ln>
                  </pic:spPr>
                </pic:pic>
              </a:graphicData>
            </a:graphic>
          </wp:inline>
        </w:drawing>
      </w:r>
      <w:r>
        <w:br w:type="page"/>
      </w:r>
    </w:p>
    <w:p>
      <w:pPr/>
      <w:r>
        <w:pict>
          <v:rect id="_x0000_s1027" o:spid="_x0000_s1027" o:spt="1" style="position:absolute;left:0pt;margin-left:-70.5pt;margin-top:-85.25pt;height:841.15pt;width:595.1pt;z-index:2516654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27" w:type="first"/>
      <w:headerReference r:id="rId26" w:type="default"/>
      <w:footerReference r:id="rId28"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roma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00000" w:csb1="00000000"/>
  </w:font>
  <w:font w:name="Yu Gothic UI Semibold">
    <w:altName w:val="MS UI Gothic"/>
    <w:panose1 w:val="020B0700000000000000"/>
    <w:charset w:val="80"/>
    <w:family w:val="modern"/>
    <w:pitch w:val="default"/>
    <w:sig w:usb0="00000000" w:usb1="00000000" w:usb2="00000016" w:usb3="00000000" w:csb0="0002009F" w:csb1="00000000"/>
  </w:font>
  <w:font w:name="微软雅黑">
    <w:panose1 w:val="020B0503020204020204"/>
    <w:charset w:val="86"/>
    <w:family w:val="modern"/>
    <w:pitch w:val="default"/>
    <w:sig w:usb0="80000287" w:usb1="280F3C52" w:usb2="00000016" w:usb3="00000000" w:csb0="0004001F" w:csb1="00000000"/>
  </w:font>
  <w:font w:name="思源黑体 HW Bold">
    <w:altName w:val="黑体"/>
    <w:panose1 w:val="00000000000000000000"/>
    <w:charset w:val="86"/>
    <w:family w:val="modern"/>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粗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TimesNewRomanPSMT">
    <w:altName w:val="Arial"/>
    <w:panose1 w:val="00000000000000000000"/>
    <w:charset w:val="00"/>
    <w:family w:val="modern"/>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MS UI Gothic">
    <w:panose1 w:val="020B0600070205080204"/>
    <w:charset w:val="80"/>
    <w:family w:val="auto"/>
    <w:pitch w:val="default"/>
    <w:sig w:usb0="E00002FF" w:usb1="6AC7FDFB" w:usb2="00000012" w:usb3="00000000" w:csb0="4002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modern"/>
    <w:pitch w:val="default"/>
    <w:sig w:usb0="E00002FF" w:usb1="6AC7FDFB" w:usb2="00000012" w:usb3="00000000" w:csb0="4002009F" w:csb1="DFD7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2" o:spid="_x0000_s2072"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- 15 -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- 29 -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87" o:spid="_x0000_s2087"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5" o:spid="_x0000_s2095"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4" o:spid="_x0000_s2064"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0" o:spid="_x0000_s2100" o:spt="203" style="position:absolute;left:0pt;margin-top:29.75pt;height:32pt;width:157.5pt;mso-position-horizontal:left;mso-position-horizontal-relative:page;mso-position-vertical-relative:page;z-index:251659264;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58240;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8" o:spid="_x0000_s2068" o:spt="203" style="position:absolute;left:0pt;margin-left:0pt;margin-top:0pt;height:37.85pt;width:594.8pt;mso-position-horizontal-relative:page;mso-position-vertical-relative:page;z-index:25175449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75552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7" o:spid="_x0000_s2077" o:spt="203" style="position:absolute;left:0pt;margin-top:29.75pt;height:32pt;width:157.5pt;mso-position-horizontal:left;mso-position-horizontal-relative:page;mso-position-vertical-relative:page;z-index:25175756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75654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pPr/>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91" o:spid="_x0000_s2091" o:spt="203" style="position:absolute;left:0pt;margin-left:0pt;margin-top:53.75pt;height:31.5pt;width:594.8pt;mso-position-horizontal-relative:page;mso-position-vertical-relative:page;z-index:25188556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4"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3"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2"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88" o:spid="_x0000_s2088" o:spt="203" style="position:absolute;left:0pt;margin-left:-2.15pt;margin-top:47.15pt;height:32pt;width:235.7pt;mso-position-horizontal-relative:page;mso-position-vertical-relative:page;z-index:25188659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文本框 6" o:spid="_x0000_s2090"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89"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3" o:spid="_x0000_s2083" o:spt="203" style="position:absolute;left:0pt;margin-left:2.75pt;margin-top:46.95pt;height:32.8pt;width:596.85pt;mso-position-horizontal-relative:page;mso-position-vertical-relative:page;z-index:25170534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706368;mso-width-relative:page;mso-height-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07A6A"/>
    <w:rsid w:val="0002333A"/>
    <w:rsid w:val="0007063E"/>
    <w:rsid w:val="00073392"/>
    <w:rsid w:val="00073F4E"/>
    <w:rsid w:val="0007535F"/>
    <w:rsid w:val="00081E93"/>
    <w:rsid w:val="00086C89"/>
    <w:rsid w:val="000A39FB"/>
    <w:rsid w:val="000E2FBD"/>
    <w:rsid w:val="00117746"/>
    <w:rsid w:val="00163F95"/>
    <w:rsid w:val="00180A9A"/>
    <w:rsid w:val="001829C0"/>
    <w:rsid w:val="00184809"/>
    <w:rsid w:val="00192112"/>
    <w:rsid w:val="00192CEB"/>
    <w:rsid w:val="001B0127"/>
    <w:rsid w:val="001C12D5"/>
    <w:rsid w:val="001C69F7"/>
    <w:rsid w:val="001D0465"/>
    <w:rsid w:val="00211D6B"/>
    <w:rsid w:val="002650EC"/>
    <w:rsid w:val="002A033C"/>
    <w:rsid w:val="002A6C46"/>
    <w:rsid w:val="002A72AA"/>
    <w:rsid w:val="002B027E"/>
    <w:rsid w:val="002C19B5"/>
    <w:rsid w:val="003A4EE8"/>
    <w:rsid w:val="003B350C"/>
    <w:rsid w:val="00415A04"/>
    <w:rsid w:val="00442CC2"/>
    <w:rsid w:val="00446244"/>
    <w:rsid w:val="00473C20"/>
    <w:rsid w:val="00476F27"/>
    <w:rsid w:val="004A2887"/>
    <w:rsid w:val="004D61CB"/>
    <w:rsid w:val="00500297"/>
    <w:rsid w:val="005011D6"/>
    <w:rsid w:val="00503F2E"/>
    <w:rsid w:val="00552226"/>
    <w:rsid w:val="00566120"/>
    <w:rsid w:val="00582E6D"/>
    <w:rsid w:val="005954D5"/>
    <w:rsid w:val="005A53FA"/>
    <w:rsid w:val="005D1293"/>
    <w:rsid w:val="00621FC1"/>
    <w:rsid w:val="00642EE5"/>
    <w:rsid w:val="00644D5F"/>
    <w:rsid w:val="00667332"/>
    <w:rsid w:val="006727AD"/>
    <w:rsid w:val="00685399"/>
    <w:rsid w:val="00687634"/>
    <w:rsid w:val="00691425"/>
    <w:rsid w:val="006A516E"/>
    <w:rsid w:val="006B0830"/>
    <w:rsid w:val="006E50C7"/>
    <w:rsid w:val="00716E2B"/>
    <w:rsid w:val="007177B9"/>
    <w:rsid w:val="00770F18"/>
    <w:rsid w:val="00773B74"/>
    <w:rsid w:val="0078290C"/>
    <w:rsid w:val="007C06CA"/>
    <w:rsid w:val="008163FB"/>
    <w:rsid w:val="0082605B"/>
    <w:rsid w:val="00845F0E"/>
    <w:rsid w:val="00855C36"/>
    <w:rsid w:val="00857DBE"/>
    <w:rsid w:val="008701BC"/>
    <w:rsid w:val="00871174"/>
    <w:rsid w:val="00883D92"/>
    <w:rsid w:val="008A5362"/>
    <w:rsid w:val="008C47B5"/>
    <w:rsid w:val="008F21F1"/>
    <w:rsid w:val="008F221B"/>
    <w:rsid w:val="008F4C79"/>
    <w:rsid w:val="008F5A2D"/>
    <w:rsid w:val="00921602"/>
    <w:rsid w:val="00957EA1"/>
    <w:rsid w:val="00966E5B"/>
    <w:rsid w:val="009860AE"/>
    <w:rsid w:val="009B068C"/>
    <w:rsid w:val="009B4EF0"/>
    <w:rsid w:val="009D271F"/>
    <w:rsid w:val="009F4B24"/>
    <w:rsid w:val="00A929C2"/>
    <w:rsid w:val="00AD097F"/>
    <w:rsid w:val="00B844F4"/>
    <w:rsid w:val="00BA06A1"/>
    <w:rsid w:val="00BA770A"/>
    <w:rsid w:val="00BB12B8"/>
    <w:rsid w:val="00C054DE"/>
    <w:rsid w:val="00C679A9"/>
    <w:rsid w:val="00C7541C"/>
    <w:rsid w:val="00C818CD"/>
    <w:rsid w:val="00CC0FAA"/>
    <w:rsid w:val="00CC5199"/>
    <w:rsid w:val="00CD0736"/>
    <w:rsid w:val="00D1570F"/>
    <w:rsid w:val="00D32830"/>
    <w:rsid w:val="00DB7153"/>
    <w:rsid w:val="00DB7F05"/>
    <w:rsid w:val="00E028C3"/>
    <w:rsid w:val="00E14F77"/>
    <w:rsid w:val="00E3076B"/>
    <w:rsid w:val="00E36978"/>
    <w:rsid w:val="00E82A1E"/>
    <w:rsid w:val="00EC06F4"/>
    <w:rsid w:val="00EE4E36"/>
    <w:rsid w:val="00F129C8"/>
    <w:rsid w:val="00F32296"/>
    <w:rsid w:val="00F4753A"/>
    <w:rsid w:val="00F665F4"/>
    <w:rsid w:val="00F9055C"/>
    <w:rsid w:val="00F94AF7"/>
    <w:rsid w:val="00FC428A"/>
    <w:rsid w:val="00FD225F"/>
    <w:rsid w:val="0808570E"/>
    <w:rsid w:val="27A00B69"/>
    <w:rsid w:val="31C2036A"/>
    <w:rsid w:val="320D02A5"/>
    <w:rsid w:val="348E566F"/>
    <w:rsid w:val="3A226944"/>
    <w:rsid w:val="3AEE6A48"/>
    <w:rsid w:val="3C1620AA"/>
    <w:rsid w:val="3D8F080F"/>
    <w:rsid w:val="44CE1FA4"/>
    <w:rsid w:val="487F73ED"/>
    <w:rsid w:val="4A347EAE"/>
    <w:rsid w:val="52600405"/>
    <w:rsid w:val="529B4319"/>
    <w:rsid w:val="57773DD6"/>
    <w:rsid w:val="578B79AB"/>
    <w:rsid w:val="59755A46"/>
    <w:rsid w:val="5CCD3FD5"/>
    <w:rsid w:val="61FA5F9D"/>
    <w:rsid w:val="64CD6910"/>
    <w:rsid w:val="675D291A"/>
    <w:rsid w:val="6789158D"/>
    <w:rsid w:val="67D81BA4"/>
    <w:rsid w:val="6AAF1C96"/>
    <w:rsid w:val="75681757"/>
    <w:rsid w:val="75A346A8"/>
    <w:rsid w:val="79B9382C"/>
    <w:rsid w:val="7B043B76"/>
    <w:rsid w:val="7C041A6A"/>
    <w:rsid w:val="7E3275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7"/>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8">
    <w:name w:val="Normal (Web)"/>
    <w:basedOn w:val="1"/>
    <w:qFormat/>
    <w:uiPriority w:val="0"/>
    <w:rPr>
      <w:rFonts w:ascii="Calibri" w:hAnsi="Calibri" w:eastAsia="宋体" w:cs="Times New Roman"/>
      <w:sz w:val="24"/>
      <w:szCs w:val="24"/>
    </w:rPr>
  </w:style>
  <w:style w:type="character" w:styleId="10">
    <w:name w:val="Strong"/>
    <w:basedOn w:val="9"/>
    <w:qFormat/>
    <w:uiPriority w:val="0"/>
    <w:rPr>
      <w:b/>
      <w:bCs/>
    </w:rPr>
  </w:style>
  <w:style w:type="table" w:styleId="12">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3">
    <w:name w:val="页眉 Char"/>
    <w:basedOn w:val="9"/>
    <w:link w:val="7"/>
    <w:qFormat/>
    <w:uiPriority w:val="99"/>
    <w:rPr>
      <w:rFonts w:asciiTheme="minorHAnsi" w:hAnsiTheme="minorHAnsi" w:eastAsiaTheme="minorEastAsia"/>
      <w:sz w:val="18"/>
      <w:szCs w:val="18"/>
    </w:rPr>
  </w:style>
  <w:style w:type="character" w:customStyle="1" w:styleId="14">
    <w:name w:val="页脚 Char"/>
    <w:basedOn w:val="9"/>
    <w:link w:val="6"/>
    <w:qFormat/>
    <w:uiPriority w:val="99"/>
    <w:rPr>
      <w:sz w:val="18"/>
      <w:szCs w:val="18"/>
    </w:rPr>
  </w:style>
  <w:style w:type="paragraph" w:customStyle="1" w:styleId="15">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6">
    <w:name w:val="标题 2 Char"/>
    <w:basedOn w:val="9"/>
    <w:link w:val="3"/>
    <w:qFormat/>
    <w:uiPriority w:val="9"/>
    <w:rPr>
      <w:rFonts w:asciiTheme="majorHAnsi" w:hAnsiTheme="majorHAnsi" w:eastAsiaTheme="majorEastAsia" w:cstheme="majorBidi"/>
      <w:b/>
      <w:bCs/>
      <w:kern w:val="2"/>
      <w:sz w:val="32"/>
      <w:szCs w:val="32"/>
    </w:rPr>
  </w:style>
  <w:style w:type="character" w:customStyle="1" w:styleId="17">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10.emf"/><Relationship Id="rId38" Type="http://schemas.openxmlformats.org/officeDocument/2006/relationships/image" Target="media/image9.emf"/><Relationship Id="rId37" Type="http://schemas.openxmlformats.org/officeDocument/2006/relationships/image" Target="media/image8.emf"/><Relationship Id="rId36" Type="http://schemas.openxmlformats.org/officeDocument/2006/relationships/image" Target="media/image7.emf"/><Relationship Id="rId35" Type="http://schemas.openxmlformats.org/officeDocument/2006/relationships/image" Target="media/image6.emf"/><Relationship Id="rId34" Type="http://schemas.openxmlformats.org/officeDocument/2006/relationships/image" Target="media/image5.emf"/><Relationship Id="rId33" Type="http://schemas.openxmlformats.org/officeDocument/2006/relationships/image" Target="media/image4.emf"/><Relationship Id="rId32" Type="http://schemas.openxmlformats.org/officeDocument/2006/relationships/image" Target="media/image3.emf"/><Relationship Id="rId31" Type="http://schemas.openxmlformats.org/officeDocument/2006/relationships/image" Target="media/image2.emf"/><Relationship Id="rId30" Type="http://schemas.openxmlformats.org/officeDocument/2006/relationships/image" Target="media/image1.GIF"/><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094"/>
    <customShpInfo spid="_x0000_s2093"/>
    <customShpInfo spid="_x0000_s2092"/>
    <customShpInfo spid="_x0000_s2091"/>
    <customShpInfo spid="_x0000_s2090"/>
    <customShpInfo spid="_x0000_s2089"/>
    <customShpInfo spid="_x0000_s2088"/>
    <customShpInfo spid="_x0000_s2087"/>
    <customShpInfo spid="_x0000_s2095"/>
    <customShpInfo spid="_x0000_s2086"/>
    <customShpInfo spid="_x0000_s2085"/>
    <customShpInfo spid="_x0000_s2084"/>
    <customShpInfo spid="_x0000_s2083"/>
    <customShpInfo spid="_x0000_s2082"/>
    <customShpInfo spid="_x0000_s2081"/>
    <customShpInfo spid="_x0000_s2080"/>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FDC74-5020-46E4-A7C9-A2D8C4803582}">
  <ds:schemaRefs/>
</ds:datastoreItem>
</file>

<file path=docProps/app.xml><?xml version="1.0" encoding="utf-8"?>
<Properties xmlns="http://schemas.openxmlformats.org/officeDocument/2006/extended-properties" xmlns:vt="http://schemas.openxmlformats.org/officeDocument/2006/docPropsVTypes">
  <Template>简约文档封面模板</Template>
  <Pages>32</Pages>
  <Words>6415</Words>
  <Characters>933</Characters>
  <Lines>7</Lines>
  <Paragraphs>14</Paragraphs>
  <ScaleCrop>false</ScaleCrop>
  <LinksUpToDate>false</LinksUpToDate>
  <CharactersWithSpaces>7334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2021-05-26T08:59:29Z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