
<file path=[Content_Types].xml><?xml version="1.0" encoding="utf-8"?>
<Types xmlns="http://schemas.openxmlformats.org/package/2006/content-types">
  <Default Extension="xml" ContentType="application/xml"/>
  <Default Extension="gif" ContentType="image/gi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5" w:type="first"/>
          <w:footerReference r:id="rId8" w:type="first"/>
          <w:headerReference r:id="rId3" w:type="default"/>
          <w:footerReference r:id="rId6" w:type="default"/>
          <w:headerReference r:id="rId4" w:type="even"/>
          <w:footerReference r:id="rId7" w:type="even"/>
          <w:pgSz w:w="11906" w:h="16838"/>
          <w:pgMar w:top="0" w:right="0" w:bottom="0" w:left="0" w:header="851" w:footer="992" w:gutter="0"/>
          <w:cols w:space="425" w:num="1"/>
          <w:titlePg/>
          <w:docGrid w:type="lines" w:linePitch="312" w:charSpace="0"/>
        </w:sectPr>
      </w:pPr>
      <w:r>
        <w:pict>
          <v:shape id="文本框 10" o:spid="_x0000_s1026" o:spt="202" type="#_x0000_t202" style="position:absolute;left:0pt;margin-left:106.25pt;margin-top:693.55pt;height:79.95pt;width:404.15pt;z-index:251655168;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v:path/>
            <v:fill on="f" focussize="0,0"/>
            <v:stroke on="f" joinstyle="miter"/>
            <v:imagedata o:title=""/>
            <o:lock v:ext="edit"/>
            <v:textbox style="mso-fit-shape-to-text:t;">
              <w:txbxContent>
                <w:p>
                  <w:pPr>
                    <w:jc w:val="center"/>
                    <w:rPr>
                      <w:rFonts w:hint="eastAsia" w:ascii="宋体" w:hAnsi="宋体" w:eastAsia="宋体" w:cs="宋体"/>
                      <w:color w:val="000000" w:themeColor="text1"/>
                      <w:kern w:val="0"/>
                      <w:sz w:val="44"/>
                      <w:szCs w:val="44"/>
                    </w:rPr>
                  </w:pPr>
                  <w:r>
                    <w:rPr>
                      <w:rFonts w:hint="eastAsia" w:ascii="宋体" w:hAnsi="宋体" w:eastAsia="宋体" w:cs="宋体"/>
                      <w:color w:val="000000" w:themeColor="text1"/>
                      <w:kern w:val="0"/>
                      <w:sz w:val="44"/>
                      <w:szCs w:val="44"/>
                    </w:rPr>
                    <w:t>二〇二〇年八月</w:t>
                  </w:r>
                </w:p>
              </w:txbxContent>
            </v:textbox>
          </v:shape>
        </w:pict>
      </w:r>
      <w:r>
        <w:pict>
          <v:shape id="椭圆 8" o:spid="_x0000_s1051" o:spt="3" type="#_x0000_t3" style="position:absolute;left:0pt;margin-left:53.5pt;margin-top:232.45pt;height:121.95pt;width:121.95pt;z-index:251652096;v-text-anchor:middle;mso-width-relative:page;mso-height-relative:page;" fillcolor="#FFFFFF"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slzntkAAAALAQAADwAAAAAAAAABACAAAAAi&#10;AAAAZHJzL2Rvd25yZXYueG1sUEsBAhQAFAAAAAgAh07iQM5yFTvQAQAAfAMAAA4AAAAAAAAAAQAg&#10;AAAAKAEAAGRycy9lMm9Eb2MueG1sUEsFBgAAAAAGAAYAWQEAAGoFAAAAAA==&#10;">
            <v:path/>
            <v:fill on="t" focussize="0,0"/>
            <v:stroke on="f" weight="1pt" joinstyle="miter"/>
            <v:imagedata o:title=""/>
            <o:lock v:ext="edit"/>
          </v:shape>
        </w:pict>
      </w:r>
      <w:r>
        <w:pict>
          <v:rect id="矩形 14" o:spid="_x0000_s1050" o:spt="1" style="position:absolute;left:0pt;margin-left:33.6pt;margin-top:256.75pt;height:69.6pt;width:160.65pt;z-index:251657216;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v:path/>
            <v:fill on="f" focussize="0,0"/>
            <v:stroke on="f"/>
            <v:imagedata o:title=""/>
            <o:lock v:ext="edit"/>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rPr>
                    <w:t>2019</w:t>
                  </w:r>
                </w:p>
              </w:txbxContent>
            </v:textbox>
          </v:rect>
        </w:pict>
      </w:r>
      <w:r>
        <w:pict>
          <v:shape id="椭圆 9" o:spid="_x0000_s1049" o:spt="3" type="#_x0000_t3" style="position:absolute;left:0pt;margin-left:62.2pt;margin-top:242.75pt;height:103.45pt;width:103.45pt;z-index:251656192;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0Chgu2AAAAAsBAAAP&#10;AAAAAAAAAAEAIAAAACIAAABkcnMvZG93bnJldi54bWxQSwECFAAUAAAACACHTuJAurh2Fd8BAACI&#10;AwAADgAAAAAAAAABACAAAAAnAQAAZHJzL2Uyb0RvYy54bWxQSwUGAAAAAAYABgBZAQAAeAUAAAAA&#10;">
            <v:path/>
            <v:fill on="t" focussize="0,0"/>
            <v:stroke on="f" weight="1pt" joinstyle="miter"/>
            <v:imagedata o:title=""/>
            <o:lock v:ext="edit"/>
          </v:shape>
        </w:pict>
      </w:r>
      <w:r>
        <w:pict>
          <v:group id="_x0000_s1046" o:spid="_x0000_s1046" o:spt="203" style="position:absolute;left:0pt;margin-left:1.25pt;margin-top:821.7pt;height:21.45pt;width:595.25pt;z-index:251653120;mso-width-relative:page;mso-height-relative:page;" coordorigin="1483,16692" coordsize="11905,429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o:lock v:ext="edit"/>
            <v:rect id="矩形 6" o:spid="_x0000_s1048"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path/>
              <v:fill on="t" focussize="0,0"/>
              <v:stroke on="f" weight="1pt"/>
              <v:imagedata o:title=""/>
              <o:lock v:ext="edit"/>
            </v:rect>
            <v:rect id="矩形 7" o:spid="_x0000_s1047"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path/>
              <v:fill on="t" focussize="0,0"/>
              <v:stroke on="f" weight="1pt"/>
              <v:imagedata o:title=""/>
              <o:lock v:ext="edit"/>
            </v:rect>
          </v:group>
        </w:pict>
      </w:r>
      <w:r>
        <w:pict>
          <v:rect id="矩形 11" o:spid="_x0000_s1042" o:spt="1" style="position:absolute;left:0pt;margin-left:184.75pt;margin-top:286.6pt;height:31.25pt;width:339.65pt;mso-wrap-style:none;z-index:251654144;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path/>
            <v:fill on="f" focussize="0,0"/>
            <v:stroke on="f"/>
            <v:imagedata o:title=""/>
            <o:lock v:ext="edit"/>
            <v:textbox style="mso-fit-shape-to-text:t;">
              <w:txbxContent>
                <w:p>
                  <w:pPr/>
                </w:p>
              </w:txbxContent>
            </v:textbox>
          </v:rect>
        </w:pict>
      </w:r>
    </w:p>
    <w:p>
      <w:pPr/>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cs="Times New Roman"/>
          <w:sz w:val="48"/>
          <w:szCs w:val="48"/>
        </w:rPr>
      </w:pPr>
      <w:r>
        <w:pict>
          <v:group id="_x0000_s1043" o:spid="_x0000_s1043" o:spt="203" style="position:absolute;left:0pt;margin-left:-80.3pt;margin-top:111.25pt;height:69.6pt;width:600.25pt;z-index:-251666432;mso-width-relative:page;mso-height-relative:page;" coordorigin="13622,-66719" coordsize="12005,1392046"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o:lock v:ext="edit"/>
            <v:rect id="矩形 5" o:spid="_x0000_s1045"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path/>
              <v:fill on="t" focussize="0,0"/>
              <v:stroke on="f" weight="1pt"/>
              <v:imagedata o:title=""/>
              <o:lock v:ext="edit"/>
            </v:rect>
            <v:shape id="_x0000_s1044" o:spid="_x0000_s1044" o:spt="202" type="#_x0000_t202" style="position:absolute;left:17229;top:-66719;height:1392046;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path/>
              <v:fill on="f" focussize="0,0"/>
              <v:stroke on="f" joinstyle="miter"/>
              <v:imagedata o:title=""/>
              <o:lock v:ext="edit"/>
              <v:textbox style="mso-fit-shape-to-text:t;">
                <w:txbxContent>
                  <w:p>
                    <w:pPr>
                      <w:jc w:val="left"/>
                      <w:rPr>
                        <w:color w:val="000000" w:themeColor="text1"/>
                        <w:kern w:val="0"/>
                        <w:sz w:val="92"/>
                        <w:szCs w:val="92"/>
                      </w:rPr>
                    </w:pPr>
                    <w:r>
                      <w:rPr>
                        <w:rFonts w:hint="eastAsia" w:ascii="思源黑体 HW Bold" w:hAnsi="思源黑体 HW Bold" w:eastAsia="思源黑体 HW Bold"/>
                        <w:color w:val="000000" w:themeColor="text1"/>
                        <w:kern w:val="24"/>
                        <w:sz w:val="92"/>
                        <w:szCs w:val="92"/>
                      </w:rPr>
                      <w:t>部门决算公开文本</w:t>
                    </w:r>
                  </w:p>
                </w:txbxContent>
              </v:textbox>
            </v:shape>
          </v:group>
        </w:pict>
      </w:r>
      <w:r>
        <w:rPr>
          <w:rFonts w:hint="eastAsia"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hint="eastAsia" w:ascii="宋体" w:hAnsi="宋体" w:eastAsia="宋体" w:cs="宋体"/>
          <w:color w:val="000000" w:themeColor="text1"/>
          <w:kern w:val="0"/>
          <w:sz w:val="44"/>
          <w:szCs w:val="44"/>
          <w:highlight w:val="yellow"/>
        </w:rPr>
      </w:pPr>
      <w:r>
        <w:rPr>
          <w:rFonts w:hint="eastAsia" w:ascii="宋体" w:hAnsi="宋体" w:eastAsia="宋体" w:cs="宋体"/>
          <w:color w:val="000000" w:themeColor="text1"/>
          <w:kern w:val="0"/>
          <w:sz w:val="44"/>
          <w:szCs w:val="44"/>
        </w:rPr>
        <w:t>阜城县码头中心卫生院</w:t>
      </w:r>
    </w:p>
    <w:p>
      <w:pPr>
        <w:snapToGrid w:val="0"/>
        <w:jc w:val="center"/>
        <w:rPr>
          <w:rFonts w:hint="eastAsia" w:ascii="宋体" w:hAnsi="宋体" w:eastAsia="宋体" w:cs="宋体"/>
          <w:color w:val="000000" w:themeColor="text1"/>
          <w:kern w:val="0"/>
          <w:sz w:val="44"/>
          <w:szCs w:val="44"/>
        </w:rPr>
        <w:sectPr>
          <w:headerReference r:id="rId10" w:type="first"/>
          <w:footerReference r:id="rId11" w:type="first"/>
          <w:headerReference r:id="rId9" w:type="default"/>
          <w:type w:val="continuous"/>
          <w:pgSz w:w="11906" w:h="16838"/>
          <w:pgMar w:top="2041" w:right="1531" w:bottom="2041" w:left="1531" w:header="851" w:footer="992" w:gutter="0"/>
          <w:cols w:space="0" w:num="1"/>
          <w:titlePg/>
          <w:docGrid w:type="lines" w:linePitch="312" w:charSpace="0"/>
        </w:sectPr>
      </w:pPr>
      <w:r>
        <w:rPr>
          <w:rFonts w:hint="eastAsia" w:ascii="宋体" w:hAnsi="宋体" w:eastAsia="宋体" w:cs="宋体"/>
          <w:color w:val="000000" w:themeColor="text1"/>
          <w:kern w:val="0"/>
          <w:sz w:val="44"/>
          <w:szCs w:val="44"/>
        </w:rPr>
        <w:t>二〇二〇年八月</w:t>
      </w:r>
    </w:p>
    <w:p>
      <w:pPr>
        <w:widowControl/>
        <w:spacing w:line="600" w:lineRule="exact"/>
        <w:jc w:val="left"/>
        <w:rPr>
          <w:rFonts w:ascii="黑体" w:hAnsi="黑体" w:eastAsia="黑体" w:cs="黑体"/>
          <w:bCs/>
          <w:sz w:val="32"/>
          <w:szCs w:val="32"/>
          <w:highlight w:val="yellow"/>
        </w:rPr>
      </w:pPr>
    </w:p>
    <w:p>
      <w:pPr>
        <w:widowControl/>
        <w:spacing w:line="600" w:lineRule="exact"/>
        <w:jc w:val="left"/>
        <w:rPr>
          <w:rFonts w:ascii="黑体" w:hAnsi="黑体" w:eastAsia="黑体" w:cs="黑体"/>
          <w:bCs/>
          <w:sz w:val="32"/>
          <w:szCs w:val="32"/>
          <w:highlight w:val="yellow"/>
        </w:rPr>
      </w:pPr>
    </w:p>
    <w:p>
      <w:pPr>
        <w:jc w:val="center"/>
        <w:rPr>
          <w:rFonts w:hint="eastAsia" w:ascii="宋体" w:hAnsi="宋体" w:eastAsia="宋体" w:cs="宋体"/>
          <w:sz w:val="48"/>
          <w:szCs w:val="48"/>
        </w:rPr>
      </w:pPr>
      <w:r>
        <w:rPr>
          <w:rFonts w:hint="eastAsia" w:ascii="黑体" w:hAnsi="Times New Roman" w:eastAsia="黑体" w:cs="Times New Roman"/>
          <w:sz w:val="48"/>
          <w:szCs w:val="48"/>
        </w:rPr>
        <w:br w:type="page"/>
      </w:r>
      <w:r>
        <w:rPr>
          <w:rFonts w:hint="eastAsia" w:ascii="宋体" w:hAnsi="宋体" w:eastAsia="宋体" w:cs="宋体"/>
          <w:sz w:val="48"/>
          <w:szCs w:val="48"/>
        </w:rPr>
        <w:t>目    录</w:t>
      </w:r>
    </w:p>
    <w:p>
      <w:pPr>
        <w:widowControl/>
        <w:spacing w:after="160" w:line="580" w:lineRule="exact"/>
        <w:ind w:firstLine="640" w:firstLineChars="200"/>
        <w:rPr>
          <w:rFonts w:hint="eastAsia" w:ascii="宋体" w:hAnsi="宋体" w:eastAsia="宋体" w:cs="宋体"/>
          <w:sz w:val="32"/>
          <w:szCs w:val="32"/>
        </w:rPr>
      </w:pPr>
    </w:p>
    <w:p>
      <w:pPr>
        <w:widowControl/>
        <w:spacing w:after="160" w:line="580" w:lineRule="exact"/>
        <w:ind w:firstLine="640" w:firstLineChars="200"/>
        <w:rPr>
          <w:rFonts w:hint="eastAsia" w:ascii="宋体" w:hAnsi="宋体" w:eastAsia="宋体" w:cs="宋体"/>
          <w:sz w:val="24"/>
          <w:szCs w:val="32"/>
        </w:rPr>
      </w:pPr>
      <w:r>
        <w:rPr>
          <w:rFonts w:hint="eastAsia" w:ascii="宋体" w:hAnsi="宋体" w:eastAsia="宋体" w:cs="宋体"/>
          <w:sz w:val="32"/>
          <w:szCs w:val="32"/>
        </w:rPr>
        <w:t>第一部分   部门概况</w:t>
      </w:r>
    </w:p>
    <w:p>
      <w:pPr>
        <w:widowControl/>
        <w:spacing w:after="160" w:line="580" w:lineRule="exact"/>
        <w:ind w:firstLine="1273" w:firstLineChars="398"/>
        <w:rPr>
          <w:rFonts w:hint="eastAsia" w:ascii="宋体" w:hAnsi="宋体" w:eastAsia="宋体" w:cs="宋体"/>
          <w:sz w:val="32"/>
          <w:szCs w:val="32"/>
        </w:rPr>
      </w:pPr>
      <w:r>
        <w:rPr>
          <w:rFonts w:hint="eastAsia" w:ascii="宋体" w:hAnsi="宋体" w:eastAsia="宋体" w:cs="宋体"/>
          <w:sz w:val="32"/>
          <w:szCs w:val="32"/>
        </w:rPr>
        <w:t>一、部门职责</w:t>
      </w:r>
    </w:p>
    <w:p>
      <w:pPr>
        <w:widowControl/>
        <w:spacing w:after="160" w:line="580" w:lineRule="exact"/>
        <w:ind w:firstLine="1273" w:firstLineChars="398"/>
        <w:rPr>
          <w:rFonts w:hint="eastAsia" w:ascii="宋体" w:hAnsi="宋体" w:eastAsia="宋体" w:cs="宋体"/>
          <w:sz w:val="32"/>
          <w:szCs w:val="32"/>
        </w:rPr>
      </w:pPr>
      <w:r>
        <w:rPr>
          <w:rFonts w:hint="eastAsia" w:ascii="宋体" w:hAnsi="宋体" w:eastAsia="宋体" w:cs="宋体"/>
          <w:sz w:val="32"/>
          <w:szCs w:val="32"/>
        </w:rPr>
        <w:t>二、机构设置</w:t>
      </w:r>
    </w:p>
    <w:p>
      <w:pPr>
        <w:widowControl/>
        <w:spacing w:after="16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第二部分   2019年部门决算情况说明</w:t>
      </w:r>
    </w:p>
    <w:p>
      <w:pPr>
        <w:widowControl/>
        <w:spacing w:after="160"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一、收入支出决算总体情况说明</w:t>
      </w:r>
    </w:p>
    <w:p>
      <w:pPr>
        <w:widowControl/>
        <w:spacing w:after="160"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二、收入决算情况说明</w:t>
      </w:r>
    </w:p>
    <w:p>
      <w:pPr>
        <w:widowControl/>
        <w:spacing w:after="160"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三、支出决算情况说明</w:t>
      </w:r>
    </w:p>
    <w:p>
      <w:pPr>
        <w:widowControl/>
        <w:spacing w:after="160"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四、财政拨款收入支出决算总体情况说明</w:t>
      </w:r>
    </w:p>
    <w:p>
      <w:pPr>
        <w:widowControl/>
        <w:spacing w:after="160"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五、一般公共预算“三公”经费支出决算情况说明</w:t>
      </w:r>
    </w:p>
    <w:p>
      <w:pPr>
        <w:widowControl/>
        <w:spacing w:after="160"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六、预算绩效情况说明</w:t>
      </w:r>
    </w:p>
    <w:p>
      <w:pPr>
        <w:widowControl/>
        <w:spacing w:after="160"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七、其他重要事项的说明</w:t>
      </w:r>
    </w:p>
    <w:p>
      <w:pPr>
        <w:widowControl/>
        <w:spacing w:after="16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第三部分  名词解释</w:t>
      </w:r>
    </w:p>
    <w:p>
      <w:pPr>
        <w:widowControl/>
        <w:spacing w:after="160" w:line="580" w:lineRule="exact"/>
        <w:ind w:firstLine="640" w:firstLineChars="200"/>
        <w:rPr>
          <w:rFonts w:hint="eastAsia" w:ascii="宋体" w:hAnsi="宋体" w:eastAsia="宋体" w:cs="宋体"/>
          <w:sz w:val="20"/>
          <w:szCs w:val="32"/>
        </w:rPr>
      </w:pPr>
      <w:r>
        <w:rPr>
          <w:rFonts w:hint="eastAsia" w:ascii="宋体" w:hAnsi="宋体" w:eastAsia="宋体" w:cs="宋体"/>
          <w:sz w:val="32"/>
          <w:szCs w:val="32"/>
        </w:rPr>
        <w:t>第四部分  2019年度部门决算报表</w:t>
      </w:r>
    </w:p>
    <w:p>
      <w:pPr>
        <w:widowControl/>
        <w:spacing w:after="160" w:line="580" w:lineRule="exact"/>
        <w:ind w:firstLine="640" w:firstLineChars="200"/>
        <w:rPr>
          <w:rFonts w:hint="eastAsia" w:ascii="宋体" w:hAnsi="宋体" w:eastAsia="宋体" w:cs="宋体"/>
          <w:sz w:val="32"/>
          <w:szCs w:val="32"/>
        </w:rPr>
      </w:pPr>
    </w:p>
    <w:p>
      <w:pPr>
        <w:widowControl/>
        <w:spacing w:after="160" w:line="580" w:lineRule="exact"/>
        <w:ind w:firstLine="640" w:firstLineChars="200"/>
        <w:rPr>
          <w:rFonts w:hint="eastAsia" w:ascii="宋体" w:hAnsi="宋体" w:eastAsia="宋体" w:cs="宋体"/>
          <w:sz w:val="32"/>
          <w:szCs w:val="32"/>
        </w:rPr>
        <w:sectPr>
          <w:headerReference r:id="rId13" w:type="first"/>
          <w:footerReference r:id="rId15" w:type="first"/>
          <w:headerReference r:id="rId12" w:type="default"/>
          <w:footerReference r:id="rId14"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hint="eastAsia" w:ascii="宋体" w:hAnsi="宋体" w:eastAsia="宋体" w:cs="宋体"/>
          <w:sz w:val="32"/>
          <w:szCs w:val="32"/>
        </w:rPr>
      </w:pPr>
    </w:p>
    <w:p>
      <w:pPr>
        <w:widowControl/>
        <w:spacing w:line="580" w:lineRule="exact"/>
        <w:ind w:firstLine="640" w:firstLineChars="200"/>
        <w:rPr>
          <w:rFonts w:hint="eastAsia" w:ascii="宋体" w:hAnsi="宋体" w:eastAsia="宋体" w:cs="宋体"/>
          <w:sz w:val="32"/>
          <w:szCs w:val="32"/>
        </w:rPr>
      </w:pPr>
    </w:p>
    <w:p>
      <w:pPr>
        <w:widowControl/>
        <w:spacing w:line="580" w:lineRule="exact"/>
        <w:ind w:firstLine="640" w:firstLineChars="200"/>
        <w:rPr>
          <w:rFonts w:hint="eastAsia" w:ascii="宋体" w:hAnsi="宋体" w:eastAsia="宋体" w:cs="宋体"/>
          <w:sz w:val="32"/>
          <w:szCs w:val="32"/>
        </w:rPr>
      </w:pPr>
    </w:p>
    <w:p>
      <w:pPr>
        <w:rPr>
          <w:rFonts w:hint="eastAsia" w:ascii="宋体" w:hAnsi="宋体" w:eastAsia="宋体" w:cs="宋体"/>
        </w:rPr>
      </w:pPr>
      <w:r>
        <w:rPr>
          <w:rFonts w:hint="eastAsia" w:ascii="宋体" w:hAnsi="宋体" w:eastAsia="宋体" w:cs="宋体"/>
          <w:sz w:val="72"/>
        </w:rPr>
        <w:pict>
          <v:shape id="_x0000_s1041" o:spid="_x0000_s1041" o:spt="202" type="#_x0000_t202" style="position:absolute;left:0pt;margin-left:-85.7pt;margin-top:80.7pt;height:263.1pt;width:613.65pt;z-index:251658240;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path/>
            <v:fill type="pattern" on="t" color2="#FFFFFF" o:title="image1" focussize="0,0" r:id="rId30"/>
            <v:stroke weight="1pt" color="#FFD966" joinstyle="round"/>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第一部分  部门概况</w:t>
                  </w:r>
                </w:p>
              </w:txbxContent>
            </v:textbox>
          </v:shape>
        </w:pict>
      </w:r>
      <w:r>
        <w:rPr>
          <w:rFonts w:hint="eastAsia" w:ascii="宋体" w:hAnsi="宋体" w:eastAsia="宋体" w:cs="宋体"/>
        </w:rPr>
        <w:br w:type="page"/>
      </w:r>
    </w:p>
    <w:p>
      <w:pPr>
        <w:pStyle w:val="2"/>
        <w:spacing w:before="0" w:after="0" w:line="580" w:lineRule="exact"/>
        <w:ind w:firstLine="640" w:firstLineChars="200"/>
        <w:jc w:val="left"/>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一、部门职责</w:t>
      </w:r>
    </w:p>
    <w:p>
      <w:pPr>
        <w:spacing w:line="580" w:lineRule="exact"/>
        <w:ind w:firstLine="640" w:firstLineChars="200"/>
        <w:rPr>
          <w:rFonts w:hint="eastAsia" w:ascii="宋体" w:hAnsi="宋体" w:eastAsia="宋体" w:cs="宋体"/>
          <w:kern w:val="0"/>
          <w:sz w:val="32"/>
          <w:szCs w:val="32"/>
        </w:rPr>
      </w:pPr>
      <w:r>
        <w:rPr>
          <w:rFonts w:hint="eastAsia" w:ascii="宋体" w:hAnsi="宋体" w:eastAsia="宋体" w:cs="宋体"/>
          <w:kern w:val="0"/>
          <w:sz w:val="32"/>
          <w:szCs w:val="32"/>
        </w:rPr>
        <w:t>1、 为人民身体健康提供医疗与预防保健服务；</w:t>
      </w:r>
    </w:p>
    <w:p>
      <w:pPr>
        <w:spacing w:line="580" w:lineRule="exact"/>
        <w:ind w:firstLine="640" w:firstLineChars="200"/>
        <w:rPr>
          <w:rFonts w:hint="eastAsia" w:ascii="宋体" w:hAnsi="宋体" w:eastAsia="宋体" w:cs="宋体"/>
          <w:kern w:val="0"/>
          <w:sz w:val="32"/>
          <w:szCs w:val="32"/>
        </w:rPr>
      </w:pPr>
      <w:r>
        <w:rPr>
          <w:rFonts w:hint="eastAsia" w:ascii="宋体" w:hAnsi="宋体" w:eastAsia="宋体" w:cs="宋体"/>
          <w:kern w:val="0"/>
          <w:sz w:val="32"/>
          <w:szCs w:val="32"/>
        </w:rPr>
        <w:t>2、 常见病多发病护理、预防保健；</w:t>
      </w:r>
    </w:p>
    <w:p>
      <w:pPr>
        <w:spacing w:line="580" w:lineRule="exact"/>
        <w:ind w:firstLine="640" w:firstLineChars="200"/>
        <w:rPr>
          <w:rFonts w:hint="eastAsia" w:ascii="宋体" w:hAnsi="宋体" w:eastAsia="宋体" w:cs="宋体"/>
          <w:kern w:val="0"/>
          <w:sz w:val="32"/>
          <w:szCs w:val="32"/>
        </w:rPr>
      </w:pPr>
      <w:r>
        <w:rPr>
          <w:rFonts w:hint="eastAsia" w:ascii="宋体" w:hAnsi="宋体" w:eastAsia="宋体" w:cs="宋体"/>
          <w:kern w:val="0"/>
          <w:sz w:val="32"/>
          <w:szCs w:val="32"/>
        </w:rPr>
        <w:t>3、 卫生技术人员培训；</w:t>
      </w:r>
    </w:p>
    <w:p>
      <w:pPr>
        <w:spacing w:line="580" w:lineRule="exact"/>
        <w:ind w:firstLine="640" w:firstLineChars="200"/>
        <w:rPr>
          <w:rFonts w:hint="eastAsia" w:ascii="宋体" w:hAnsi="宋体" w:eastAsia="宋体" w:cs="宋体"/>
          <w:kern w:val="0"/>
          <w:sz w:val="32"/>
          <w:szCs w:val="32"/>
        </w:rPr>
      </w:pPr>
      <w:r>
        <w:rPr>
          <w:rFonts w:hint="eastAsia" w:ascii="宋体" w:hAnsi="宋体" w:eastAsia="宋体" w:cs="宋体"/>
          <w:kern w:val="0"/>
          <w:sz w:val="32"/>
          <w:szCs w:val="32"/>
        </w:rPr>
        <w:t>4、 初级卫生保健规划实施、合作医疗组织与管理。</w:t>
      </w:r>
    </w:p>
    <w:p>
      <w:pPr>
        <w:spacing w:line="580" w:lineRule="exact"/>
        <w:ind w:firstLine="640" w:firstLineChars="200"/>
        <w:rPr>
          <w:rFonts w:hint="eastAsia" w:ascii="宋体" w:hAnsi="宋体" w:eastAsia="宋体" w:cs="宋体"/>
          <w:kern w:val="0"/>
          <w:sz w:val="32"/>
          <w:szCs w:val="32"/>
        </w:rPr>
      </w:pPr>
      <w:r>
        <w:rPr>
          <w:rFonts w:hint="eastAsia" w:ascii="宋体" w:hAnsi="宋体" w:eastAsia="宋体" w:cs="宋体"/>
          <w:kern w:val="0"/>
          <w:sz w:val="32"/>
          <w:szCs w:val="32"/>
        </w:rPr>
        <w:t>5、开展基本公共卫生服务。</w:t>
      </w:r>
    </w:p>
    <w:p>
      <w:pPr>
        <w:keepNext/>
        <w:keepLines/>
        <w:spacing w:line="580" w:lineRule="exact"/>
        <w:ind w:firstLine="640" w:firstLineChars="200"/>
        <w:jc w:val="left"/>
        <w:outlineLvl w:val="0"/>
        <w:rPr>
          <w:rFonts w:hint="eastAsia" w:ascii="宋体" w:hAnsi="宋体" w:eastAsia="宋体" w:cs="宋体"/>
          <w:kern w:val="0"/>
          <w:sz w:val="32"/>
          <w:szCs w:val="32"/>
        </w:rPr>
      </w:pPr>
      <w:r>
        <w:rPr>
          <w:rFonts w:hint="eastAsia" w:ascii="宋体" w:hAnsi="宋体" w:eastAsia="宋体" w:cs="宋体"/>
          <w:kern w:val="0"/>
          <w:sz w:val="32"/>
          <w:szCs w:val="32"/>
        </w:rPr>
        <w:t>二、机构设置</w:t>
      </w:r>
    </w:p>
    <w:p>
      <w:pPr>
        <w:spacing w:line="580" w:lineRule="exact"/>
        <w:ind w:firstLine="640" w:firstLineChars="200"/>
        <w:rPr>
          <w:rFonts w:hint="eastAsia" w:ascii="宋体" w:hAnsi="宋体" w:eastAsia="宋体" w:cs="宋体"/>
          <w:kern w:val="0"/>
          <w:sz w:val="32"/>
          <w:szCs w:val="32"/>
        </w:rPr>
      </w:pPr>
      <w:r>
        <w:rPr>
          <w:rFonts w:hint="eastAsia" w:ascii="宋体" w:hAnsi="宋体" w:eastAsia="宋体" w:cs="宋体"/>
          <w:kern w:val="0"/>
          <w:sz w:val="32"/>
          <w:szCs w:val="32"/>
        </w:rPr>
        <w:t>从决算编报单位构成看，纳入2019 年度本部门决算汇编范围的独立核算单位（以下简称“单位”）共1个，具体情况如下：</w:t>
      </w:r>
    </w:p>
    <w:tbl>
      <w:tblPr>
        <w:tblStyle w:val="12"/>
        <w:tblpPr w:leftFromText="180" w:rightFromText="180" w:vertAnchor="text" w:horzAnchor="page" w:tblpXSpec="center" w:tblpY="10"/>
        <w:tblOverlap w:val="never"/>
        <w:tblW w:w="98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092"/>
        <w:gridCol w:w="2838"/>
        <w:gridCol w:w="2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序号</w:t>
            </w:r>
          </w:p>
        </w:tc>
        <w:tc>
          <w:tcPr>
            <w:tcW w:w="3092" w:type="dxa"/>
            <w:vAlign w:val="center"/>
          </w:tcPr>
          <w:p>
            <w:pPr>
              <w:spacing w:line="560" w:lineRule="exact"/>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单位名称</w:t>
            </w:r>
          </w:p>
        </w:tc>
        <w:tc>
          <w:tcPr>
            <w:tcW w:w="2838" w:type="dxa"/>
            <w:vAlign w:val="center"/>
          </w:tcPr>
          <w:p>
            <w:pPr>
              <w:spacing w:line="560" w:lineRule="exact"/>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单位基本性质</w:t>
            </w:r>
          </w:p>
        </w:tc>
        <w:tc>
          <w:tcPr>
            <w:tcW w:w="2974" w:type="dxa"/>
            <w:vAlign w:val="center"/>
          </w:tcPr>
          <w:p>
            <w:pPr>
              <w:spacing w:line="560" w:lineRule="exact"/>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1</w:t>
            </w:r>
          </w:p>
        </w:tc>
        <w:tc>
          <w:tcPr>
            <w:tcW w:w="3092" w:type="dxa"/>
          </w:tcPr>
          <w:p>
            <w:pPr>
              <w:spacing w:line="560" w:lineRule="exact"/>
              <w:rPr>
                <w:rFonts w:hint="eastAsia" w:ascii="宋体" w:hAnsi="宋体" w:eastAsia="宋体" w:cs="宋体"/>
                <w:kern w:val="0"/>
                <w:sz w:val="28"/>
                <w:szCs w:val="28"/>
              </w:rPr>
            </w:pPr>
            <w:r>
              <w:rPr>
                <w:rFonts w:hint="eastAsia" w:ascii="宋体" w:hAnsi="宋体" w:eastAsia="宋体" w:cs="宋体"/>
                <w:kern w:val="0"/>
                <w:sz w:val="28"/>
                <w:szCs w:val="28"/>
              </w:rPr>
              <w:t>阜城县码头中心卫生院</w:t>
            </w:r>
          </w:p>
        </w:tc>
        <w:tc>
          <w:tcPr>
            <w:tcW w:w="2838" w:type="dxa"/>
          </w:tcPr>
          <w:p>
            <w:pPr>
              <w:spacing w:line="56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财政补助事业单位</w:t>
            </w:r>
          </w:p>
        </w:tc>
        <w:tc>
          <w:tcPr>
            <w:tcW w:w="2974" w:type="dxa"/>
          </w:tcPr>
          <w:p>
            <w:pPr>
              <w:spacing w:line="56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财政性资金基本保证</w:t>
            </w:r>
          </w:p>
        </w:tc>
      </w:tr>
    </w:tbl>
    <w:p>
      <w:pPr>
        <w:widowControl/>
        <w:spacing w:after="160" w:line="580" w:lineRule="exact"/>
        <w:ind w:firstLine="640" w:firstLineChars="200"/>
        <w:rPr>
          <w:rFonts w:hint="eastAsia" w:ascii="宋体" w:hAnsi="宋体" w:eastAsia="宋体" w:cs="宋体"/>
          <w:sz w:val="32"/>
          <w:szCs w:val="32"/>
        </w:rPr>
      </w:pPr>
    </w:p>
    <w:p>
      <w:pPr>
        <w:widowControl/>
        <w:spacing w:after="160" w:line="580" w:lineRule="exact"/>
        <w:ind w:firstLine="562" w:firstLineChars="200"/>
        <w:jc w:val="center"/>
        <w:rPr>
          <w:rFonts w:hint="eastAsia" w:ascii="宋体" w:hAnsi="宋体" w:eastAsia="宋体" w:cs="宋体"/>
          <w:sz w:val="32"/>
          <w:szCs w:val="32"/>
        </w:rPr>
      </w:pPr>
      <w:r>
        <w:rPr>
          <w:rFonts w:hint="eastAsia" w:ascii="宋体" w:hAnsi="宋体" w:eastAsia="宋体" w:cs="宋体"/>
          <w:b/>
          <w:sz w:val="28"/>
          <w:szCs w:val="28"/>
        </w:rPr>
        <w:t>部门机构设置情况</w:t>
      </w:r>
    </w:p>
    <w:tbl>
      <w:tblPr>
        <w:tblStyle w:val="11"/>
        <w:tblW w:w="845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35"/>
        <w:gridCol w:w="251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0" w:hRule="atLeast"/>
          <w:tblHeader/>
          <w:jc w:val="center"/>
        </w:trPr>
        <w:tc>
          <w:tcPr>
            <w:tcW w:w="3035" w:type="dxa"/>
            <w:vMerge w:val="restart"/>
            <w:vAlign w:val="center"/>
          </w:tcPr>
          <w:p>
            <w:pPr>
              <w:spacing w:line="300" w:lineRule="exact"/>
              <w:jc w:val="center"/>
              <w:rPr>
                <w:rFonts w:hint="eastAsia" w:ascii="宋体" w:hAnsi="宋体" w:eastAsia="宋体" w:cs="宋体"/>
                <w:b/>
              </w:rPr>
            </w:pPr>
            <w:r>
              <w:rPr>
                <w:rFonts w:hint="eastAsia" w:ascii="宋体" w:hAnsi="宋体" w:eastAsia="宋体" w:cs="宋体"/>
                <w:b/>
              </w:rPr>
              <w:t>单位名称</w:t>
            </w:r>
          </w:p>
        </w:tc>
        <w:tc>
          <w:tcPr>
            <w:tcW w:w="2516" w:type="dxa"/>
            <w:vMerge w:val="restart"/>
            <w:vAlign w:val="center"/>
          </w:tcPr>
          <w:p>
            <w:pPr>
              <w:spacing w:line="300" w:lineRule="exact"/>
              <w:jc w:val="center"/>
              <w:rPr>
                <w:rFonts w:hint="eastAsia" w:ascii="宋体" w:hAnsi="宋体" w:eastAsia="宋体" w:cs="宋体"/>
                <w:b/>
              </w:rPr>
            </w:pPr>
            <w:r>
              <w:rPr>
                <w:rFonts w:hint="eastAsia" w:ascii="宋体" w:hAnsi="宋体" w:eastAsia="宋体" w:cs="宋体"/>
                <w:b/>
              </w:rPr>
              <w:t>单位性质</w:t>
            </w:r>
          </w:p>
        </w:tc>
        <w:tc>
          <w:tcPr>
            <w:tcW w:w="2902" w:type="dxa"/>
            <w:vMerge w:val="restart"/>
            <w:vAlign w:val="center"/>
          </w:tcPr>
          <w:p>
            <w:pPr>
              <w:spacing w:line="300" w:lineRule="exact"/>
              <w:jc w:val="center"/>
              <w:rPr>
                <w:rFonts w:hint="eastAsia" w:ascii="宋体" w:hAnsi="宋体" w:eastAsia="宋体" w:cs="宋体"/>
                <w:b/>
              </w:rPr>
            </w:pPr>
            <w:r>
              <w:rPr>
                <w:rFonts w:hint="eastAsia" w:ascii="宋体" w:hAnsi="宋体" w:eastAsia="宋体" w:cs="宋体"/>
                <w:b/>
              </w:rPr>
              <w:t>经费形式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0" w:hRule="atLeast"/>
          <w:tblHeader/>
          <w:jc w:val="center"/>
        </w:trPr>
        <w:tc>
          <w:tcPr>
            <w:tcW w:w="3035" w:type="dxa"/>
            <w:vMerge w:val="continue"/>
            <w:vAlign w:val="center"/>
          </w:tcPr>
          <w:p>
            <w:pPr>
              <w:spacing w:line="300" w:lineRule="exact"/>
              <w:outlineLvl w:val="0"/>
              <w:rPr>
                <w:rFonts w:hint="eastAsia" w:ascii="宋体" w:hAnsi="宋体" w:eastAsia="宋体" w:cs="宋体"/>
              </w:rPr>
            </w:pPr>
          </w:p>
        </w:tc>
        <w:tc>
          <w:tcPr>
            <w:tcW w:w="2516" w:type="dxa"/>
            <w:vMerge w:val="continue"/>
            <w:vAlign w:val="center"/>
          </w:tcPr>
          <w:p>
            <w:pPr>
              <w:spacing w:line="300" w:lineRule="exact"/>
              <w:outlineLvl w:val="0"/>
              <w:rPr>
                <w:rFonts w:hint="eastAsia" w:ascii="宋体" w:hAnsi="宋体" w:eastAsia="宋体" w:cs="宋体"/>
              </w:rPr>
            </w:pPr>
          </w:p>
        </w:tc>
        <w:tc>
          <w:tcPr>
            <w:tcW w:w="2902" w:type="dxa"/>
            <w:vMerge w:val="continue"/>
            <w:vAlign w:val="center"/>
          </w:tcPr>
          <w:p>
            <w:pPr>
              <w:spacing w:line="300" w:lineRule="exact"/>
              <w:outlineLvl w:val="0"/>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035" w:type="dxa"/>
            <w:vAlign w:val="center"/>
          </w:tcPr>
          <w:p>
            <w:pPr>
              <w:spacing w:line="300" w:lineRule="exact"/>
              <w:rPr>
                <w:rFonts w:hint="eastAsia" w:ascii="宋体" w:hAnsi="宋体" w:eastAsia="宋体" w:cs="宋体"/>
                <w:lang w:eastAsia="zh-CN"/>
              </w:rPr>
            </w:pPr>
            <w:r>
              <w:rPr>
                <w:rFonts w:hint="eastAsia" w:ascii="宋体" w:hAnsi="宋体" w:eastAsia="宋体" w:cs="宋体"/>
                <w:lang w:eastAsia="zh-CN"/>
              </w:rPr>
              <w:t>内科</w:t>
            </w:r>
          </w:p>
        </w:tc>
        <w:tc>
          <w:tcPr>
            <w:tcW w:w="2516" w:type="dxa"/>
            <w:vAlign w:val="center"/>
          </w:tcPr>
          <w:p>
            <w:pPr>
              <w:spacing w:line="300" w:lineRule="exact"/>
              <w:jc w:val="center"/>
              <w:rPr>
                <w:rFonts w:hint="eastAsia" w:ascii="宋体" w:hAnsi="宋体" w:eastAsia="宋体" w:cs="宋体"/>
                <w:lang w:eastAsia="zh-CN"/>
              </w:rPr>
            </w:pPr>
            <w:r>
              <w:rPr>
                <w:rFonts w:hint="eastAsia" w:ascii="宋体" w:hAnsi="宋体" w:eastAsia="宋体" w:cs="宋体"/>
                <w:lang w:eastAsia="zh-CN"/>
              </w:rPr>
              <w:t>财政补助事业单位</w:t>
            </w:r>
          </w:p>
        </w:tc>
        <w:tc>
          <w:tcPr>
            <w:tcW w:w="2902" w:type="dxa"/>
            <w:vAlign w:val="center"/>
          </w:tcPr>
          <w:p>
            <w:pPr>
              <w:spacing w:line="300" w:lineRule="exact"/>
              <w:jc w:val="center"/>
              <w:rPr>
                <w:rFonts w:hint="eastAsia" w:ascii="宋体" w:hAnsi="宋体" w:eastAsia="宋体" w:cs="宋体"/>
                <w:lang w:eastAsia="zh-CN"/>
              </w:rPr>
            </w:pPr>
            <w:r>
              <w:rPr>
                <w:rFonts w:hint="eastAsia" w:ascii="宋体" w:hAnsi="宋体" w:eastAsia="宋体" w:cs="宋体"/>
                <w:lang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035" w:type="dxa"/>
            <w:vAlign w:val="center"/>
          </w:tcPr>
          <w:p>
            <w:pPr>
              <w:spacing w:line="300" w:lineRule="exact"/>
              <w:rPr>
                <w:rFonts w:hint="eastAsia" w:ascii="宋体" w:hAnsi="宋体" w:eastAsia="宋体" w:cs="宋体"/>
                <w:lang w:eastAsia="zh-CN"/>
              </w:rPr>
            </w:pPr>
            <w:r>
              <w:rPr>
                <w:rFonts w:hint="eastAsia" w:ascii="宋体" w:hAnsi="宋体" w:eastAsia="宋体" w:cs="宋体"/>
                <w:lang w:eastAsia="zh-CN"/>
              </w:rPr>
              <w:t>外科</w:t>
            </w:r>
          </w:p>
        </w:tc>
        <w:tc>
          <w:tcPr>
            <w:tcW w:w="2516" w:type="dxa"/>
            <w:vAlign w:val="center"/>
          </w:tcPr>
          <w:p>
            <w:pPr>
              <w:spacing w:line="300" w:lineRule="exact"/>
              <w:jc w:val="center"/>
              <w:rPr>
                <w:rFonts w:hint="eastAsia" w:ascii="宋体" w:hAnsi="宋体" w:eastAsia="宋体" w:cs="宋体"/>
              </w:rPr>
            </w:pPr>
            <w:r>
              <w:rPr>
                <w:rFonts w:hint="eastAsia" w:ascii="宋体" w:hAnsi="宋体" w:eastAsia="宋体" w:cs="宋体"/>
                <w:lang w:eastAsia="zh-CN"/>
              </w:rPr>
              <w:t>财政补助事业单位</w:t>
            </w:r>
          </w:p>
        </w:tc>
        <w:tc>
          <w:tcPr>
            <w:tcW w:w="2902" w:type="dxa"/>
            <w:vAlign w:val="center"/>
          </w:tcPr>
          <w:p>
            <w:pPr>
              <w:spacing w:line="300" w:lineRule="exact"/>
              <w:jc w:val="center"/>
              <w:rPr>
                <w:rFonts w:hint="eastAsia" w:ascii="宋体" w:hAnsi="宋体" w:eastAsia="宋体" w:cs="宋体"/>
              </w:rPr>
            </w:pPr>
            <w:r>
              <w:rPr>
                <w:rFonts w:hint="eastAsia" w:ascii="宋体" w:hAnsi="宋体" w:eastAsia="宋体" w:cs="宋体"/>
                <w:lang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3035" w:type="dxa"/>
            <w:vAlign w:val="center"/>
          </w:tcPr>
          <w:p>
            <w:pPr>
              <w:spacing w:line="300" w:lineRule="exact"/>
              <w:rPr>
                <w:rFonts w:hint="eastAsia" w:ascii="宋体" w:hAnsi="宋体" w:eastAsia="宋体" w:cs="宋体"/>
                <w:lang w:eastAsia="zh-CN"/>
              </w:rPr>
            </w:pPr>
            <w:r>
              <w:rPr>
                <w:rFonts w:hint="eastAsia" w:ascii="宋体" w:hAnsi="宋体" w:eastAsia="宋体" w:cs="宋体"/>
                <w:lang w:eastAsia="zh-CN"/>
              </w:rPr>
              <w:t>药房</w:t>
            </w:r>
          </w:p>
        </w:tc>
        <w:tc>
          <w:tcPr>
            <w:tcW w:w="2516" w:type="dxa"/>
            <w:vAlign w:val="center"/>
          </w:tcPr>
          <w:p>
            <w:pPr>
              <w:spacing w:line="300" w:lineRule="exact"/>
              <w:jc w:val="center"/>
              <w:rPr>
                <w:rFonts w:hint="eastAsia" w:ascii="宋体" w:hAnsi="宋体" w:eastAsia="宋体" w:cs="宋体"/>
                <w:b/>
                <w:bCs/>
              </w:rPr>
            </w:pPr>
            <w:r>
              <w:rPr>
                <w:rFonts w:hint="eastAsia" w:ascii="宋体" w:hAnsi="宋体" w:eastAsia="宋体" w:cs="宋体"/>
                <w:lang w:eastAsia="zh-CN"/>
              </w:rPr>
              <w:t>财政补助事业单位</w:t>
            </w:r>
          </w:p>
        </w:tc>
        <w:tc>
          <w:tcPr>
            <w:tcW w:w="2902" w:type="dxa"/>
            <w:vAlign w:val="center"/>
          </w:tcPr>
          <w:p>
            <w:pPr>
              <w:spacing w:line="300" w:lineRule="exact"/>
              <w:jc w:val="center"/>
              <w:rPr>
                <w:rFonts w:hint="eastAsia" w:ascii="宋体" w:hAnsi="宋体" w:eastAsia="宋体" w:cs="宋体"/>
              </w:rPr>
            </w:pPr>
            <w:r>
              <w:rPr>
                <w:rFonts w:hint="eastAsia" w:ascii="宋体" w:hAnsi="宋体" w:eastAsia="宋体" w:cs="宋体"/>
                <w:lang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035" w:type="dxa"/>
            <w:vAlign w:val="center"/>
          </w:tcPr>
          <w:p>
            <w:pPr>
              <w:spacing w:line="300" w:lineRule="exact"/>
              <w:rPr>
                <w:rFonts w:hint="eastAsia" w:ascii="宋体" w:hAnsi="宋体" w:eastAsia="宋体" w:cs="宋体"/>
                <w:lang w:eastAsia="zh-CN"/>
              </w:rPr>
            </w:pPr>
            <w:r>
              <w:rPr>
                <w:rFonts w:hint="eastAsia" w:ascii="宋体" w:hAnsi="宋体" w:eastAsia="宋体" w:cs="宋体"/>
                <w:lang w:eastAsia="zh-CN"/>
              </w:rPr>
              <w:t>护办室</w:t>
            </w:r>
          </w:p>
        </w:tc>
        <w:tc>
          <w:tcPr>
            <w:tcW w:w="2516" w:type="dxa"/>
            <w:vAlign w:val="center"/>
          </w:tcPr>
          <w:p>
            <w:pPr>
              <w:spacing w:line="300" w:lineRule="exact"/>
              <w:jc w:val="center"/>
              <w:rPr>
                <w:rFonts w:hint="eastAsia" w:ascii="宋体" w:hAnsi="宋体" w:eastAsia="宋体" w:cs="宋体"/>
              </w:rPr>
            </w:pPr>
            <w:r>
              <w:rPr>
                <w:rFonts w:hint="eastAsia" w:ascii="宋体" w:hAnsi="宋体" w:eastAsia="宋体" w:cs="宋体"/>
                <w:lang w:eastAsia="zh-CN"/>
              </w:rPr>
              <w:t>财政补助事业单位</w:t>
            </w:r>
          </w:p>
        </w:tc>
        <w:tc>
          <w:tcPr>
            <w:tcW w:w="2902" w:type="dxa"/>
            <w:vAlign w:val="center"/>
          </w:tcPr>
          <w:p>
            <w:pPr>
              <w:spacing w:line="300" w:lineRule="exact"/>
              <w:jc w:val="center"/>
              <w:rPr>
                <w:rFonts w:hint="eastAsia" w:ascii="宋体" w:hAnsi="宋体" w:eastAsia="宋体" w:cs="宋体"/>
              </w:rPr>
            </w:pPr>
            <w:r>
              <w:rPr>
                <w:rFonts w:hint="eastAsia" w:ascii="宋体" w:hAnsi="宋体" w:eastAsia="宋体" w:cs="宋体"/>
                <w:lang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035" w:type="dxa"/>
            <w:vAlign w:val="center"/>
          </w:tcPr>
          <w:p>
            <w:pPr>
              <w:spacing w:line="300" w:lineRule="exact"/>
              <w:rPr>
                <w:rFonts w:hint="eastAsia" w:ascii="宋体" w:hAnsi="宋体" w:eastAsia="宋体" w:cs="宋体"/>
                <w:lang w:eastAsia="zh-CN"/>
              </w:rPr>
            </w:pPr>
            <w:r>
              <w:rPr>
                <w:rFonts w:hint="eastAsia" w:ascii="宋体" w:hAnsi="宋体" w:eastAsia="宋体" w:cs="宋体"/>
                <w:lang w:eastAsia="zh-CN"/>
              </w:rPr>
              <w:t>公共卫生科</w:t>
            </w:r>
          </w:p>
        </w:tc>
        <w:tc>
          <w:tcPr>
            <w:tcW w:w="2516" w:type="dxa"/>
            <w:vAlign w:val="center"/>
          </w:tcPr>
          <w:p>
            <w:pPr>
              <w:spacing w:line="300" w:lineRule="exact"/>
              <w:jc w:val="center"/>
              <w:rPr>
                <w:rFonts w:hint="eastAsia" w:ascii="宋体" w:hAnsi="宋体" w:eastAsia="宋体" w:cs="宋体"/>
              </w:rPr>
            </w:pPr>
            <w:r>
              <w:rPr>
                <w:rFonts w:hint="eastAsia" w:ascii="宋体" w:hAnsi="宋体" w:eastAsia="宋体" w:cs="宋体"/>
                <w:lang w:eastAsia="zh-CN"/>
              </w:rPr>
              <w:t>财政补助事业单位</w:t>
            </w:r>
          </w:p>
        </w:tc>
        <w:tc>
          <w:tcPr>
            <w:tcW w:w="2902" w:type="dxa"/>
            <w:vAlign w:val="center"/>
          </w:tcPr>
          <w:p>
            <w:pPr>
              <w:spacing w:line="300" w:lineRule="exact"/>
              <w:jc w:val="center"/>
              <w:rPr>
                <w:rFonts w:hint="eastAsia" w:ascii="宋体" w:hAnsi="宋体" w:eastAsia="宋体" w:cs="宋体"/>
              </w:rPr>
            </w:pPr>
            <w:r>
              <w:rPr>
                <w:rFonts w:hint="eastAsia" w:ascii="宋体" w:hAnsi="宋体" w:eastAsia="宋体" w:cs="宋体"/>
                <w:lang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035" w:type="dxa"/>
            <w:vAlign w:val="center"/>
          </w:tcPr>
          <w:p>
            <w:pPr>
              <w:spacing w:line="300" w:lineRule="exact"/>
              <w:rPr>
                <w:rFonts w:hint="eastAsia" w:ascii="宋体" w:hAnsi="宋体" w:eastAsia="宋体" w:cs="宋体"/>
                <w:lang w:eastAsia="zh-CN"/>
              </w:rPr>
            </w:pPr>
            <w:r>
              <w:rPr>
                <w:rFonts w:hint="eastAsia" w:ascii="宋体" w:hAnsi="宋体" w:eastAsia="宋体" w:cs="宋体"/>
                <w:lang w:eastAsia="zh-CN"/>
              </w:rPr>
              <w:t>财务科</w:t>
            </w:r>
          </w:p>
        </w:tc>
        <w:tc>
          <w:tcPr>
            <w:tcW w:w="2516" w:type="dxa"/>
            <w:vAlign w:val="center"/>
          </w:tcPr>
          <w:p>
            <w:pPr>
              <w:spacing w:line="300" w:lineRule="exact"/>
              <w:jc w:val="center"/>
              <w:rPr>
                <w:rFonts w:hint="eastAsia" w:ascii="宋体" w:hAnsi="宋体" w:eastAsia="宋体" w:cs="宋体"/>
              </w:rPr>
            </w:pPr>
            <w:r>
              <w:rPr>
                <w:rFonts w:hint="eastAsia" w:ascii="宋体" w:hAnsi="宋体" w:eastAsia="宋体" w:cs="宋体"/>
                <w:lang w:eastAsia="zh-CN"/>
              </w:rPr>
              <w:t>财政补助事业单位</w:t>
            </w:r>
          </w:p>
        </w:tc>
        <w:tc>
          <w:tcPr>
            <w:tcW w:w="2902" w:type="dxa"/>
            <w:vAlign w:val="center"/>
          </w:tcPr>
          <w:p>
            <w:pPr>
              <w:spacing w:line="300" w:lineRule="exact"/>
              <w:jc w:val="center"/>
              <w:rPr>
                <w:rFonts w:hint="eastAsia" w:ascii="宋体" w:hAnsi="宋体" w:eastAsia="宋体" w:cs="宋体"/>
              </w:rPr>
            </w:pPr>
            <w:r>
              <w:rPr>
                <w:rFonts w:hint="eastAsia" w:ascii="宋体" w:hAnsi="宋体" w:eastAsia="宋体" w:cs="宋体"/>
                <w:lang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035" w:type="dxa"/>
            <w:vAlign w:val="center"/>
          </w:tcPr>
          <w:p>
            <w:pPr>
              <w:spacing w:line="300" w:lineRule="exact"/>
              <w:rPr>
                <w:rFonts w:hint="eastAsia" w:ascii="宋体" w:hAnsi="宋体" w:eastAsia="宋体" w:cs="宋体"/>
                <w:lang w:eastAsia="zh-CN"/>
              </w:rPr>
            </w:pPr>
            <w:r>
              <w:rPr>
                <w:rFonts w:hint="eastAsia" w:ascii="宋体" w:hAnsi="宋体" w:eastAsia="宋体" w:cs="宋体"/>
                <w:lang w:eastAsia="zh-CN"/>
              </w:rPr>
              <w:t>功能科</w:t>
            </w:r>
          </w:p>
        </w:tc>
        <w:tc>
          <w:tcPr>
            <w:tcW w:w="2516" w:type="dxa"/>
            <w:vAlign w:val="center"/>
          </w:tcPr>
          <w:p>
            <w:pPr>
              <w:spacing w:line="300" w:lineRule="exact"/>
              <w:jc w:val="center"/>
              <w:rPr>
                <w:rFonts w:hint="eastAsia" w:ascii="宋体" w:hAnsi="宋体" w:eastAsia="宋体" w:cs="宋体"/>
              </w:rPr>
            </w:pPr>
            <w:r>
              <w:rPr>
                <w:rFonts w:hint="eastAsia" w:ascii="宋体" w:hAnsi="宋体" w:eastAsia="宋体" w:cs="宋体"/>
                <w:lang w:eastAsia="zh-CN"/>
              </w:rPr>
              <w:t>财政补助事业单位</w:t>
            </w:r>
          </w:p>
        </w:tc>
        <w:tc>
          <w:tcPr>
            <w:tcW w:w="2902" w:type="dxa"/>
            <w:vAlign w:val="center"/>
          </w:tcPr>
          <w:p>
            <w:pPr>
              <w:spacing w:line="300" w:lineRule="exact"/>
              <w:jc w:val="center"/>
              <w:rPr>
                <w:rFonts w:hint="eastAsia" w:ascii="宋体" w:hAnsi="宋体" w:eastAsia="宋体" w:cs="宋体"/>
              </w:rPr>
            </w:pPr>
            <w:r>
              <w:rPr>
                <w:rFonts w:hint="eastAsia" w:ascii="宋体" w:hAnsi="宋体" w:eastAsia="宋体" w:cs="宋体"/>
                <w:lang w:eastAsia="zh-CN"/>
              </w:rPr>
              <w:t>财政性资金基本保证</w:t>
            </w:r>
          </w:p>
        </w:tc>
      </w:tr>
    </w:tbl>
    <w:p>
      <w:pPr>
        <w:widowControl/>
        <w:spacing w:after="160" w:line="580" w:lineRule="exact"/>
        <w:ind w:firstLine="640" w:firstLineChars="200"/>
        <w:rPr>
          <w:rFonts w:hint="eastAsia" w:ascii="宋体" w:hAnsi="宋体" w:eastAsia="宋体" w:cs="宋体"/>
          <w:sz w:val="32"/>
          <w:szCs w:val="32"/>
        </w:rPr>
        <w:sectPr>
          <w:footerReference r:id="rId18" w:type="first"/>
          <w:headerReference r:id="rId16" w:type="default"/>
          <w:footerReference r:id="rId17"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hint="eastAsia" w:ascii="宋体" w:hAnsi="宋体" w:eastAsia="宋体" w:cs="宋体"/>
          <w:sz w:val="32"/>
          <w:szCs w:val="32"/>
        </w:rPr>
        <w:sectPr>
          <w:headerReference r:id="rId19"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hint="eastAsia" w:ascii="宋体" w:hAnsi="宋体" w:eastAsia="宋体" w:cs="宋体"/>
          <w:sz w:val="32"/>
          <w:szCs w:val="32"/>
        </w:rPr>
        <w:sectPr>
          <w:pgSz w:w="11906" w:h="16838"/>
          <w:pgMar w:top="2041" w:right="1531" w:bottom="2041" w:left="1531" w:header="851" w:footer="992" w:gutter="0"/>
          <w:pgNumType w:fmt="numberInDash"/>
          <w:cols w:space="0" w:num="1"/>
          <w:titlePg/>
          <w:docGrid w:type="lines" w:linePitch="312" w:charSpace="0"/>
        </w:sectPr>
      </w:pPr>
      <w:r>
        <w:rPr>
          <w:rFonts w:hint="eastAsia" w:ascii="宋体" w:hAnsi="宋体" w:eastAsia="宋体" w:cs="宋体"/>
          <w:sz w:val="72"/>
        </w:rPr>
        <w:pict>
          <v:shape id="_x0000_s1040" o:spid="_x0000_s1040" o:spt="202" type="#_x0000_t202" style="position:absolute;left:0pt;margin-left:-85.7pt;margin-top:238.15pt;height:173.25pt;width:613.65pt;z-index:251659264;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path/>
            <v:fill on="f" focussize="0,0"/>
            <v:stroke on="f" weight="0.5pt" joinstyle="miter"/>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 xml:space="preserve"> </w:t>
                  </w:r>
                </w:p>
                <w:p>
                  <w:pPr>
                    <w:widowControl/>
                    <w:jc w:val="center"/>
                    <w:rPr>
                      <w:rFonts w:ascii="黑体" w:hAnsi="黑体" w:eastAsia="黑体" w:cs="黑体"/>
                      <w:color w:val="000000" w:themeColor="text1"/>
                      <w:sz w:val="96"/>
                      <w:szCs w:val="96"/>
                    </w:rPr>
                  </w:pPr>
                </w:p>
              </w:txbxContent>
            </v:textbox>
          </v:shape>
        </w:pict>
      </w:r>
    </w:p>
    <w:p>
      <w:pPr>
        <w:widowControl/>
        <w:spacing w:line="580" w:lineRule="exact"/>
        <w:ind w:firstLine="640" w:firstLineChars="200"/>
        <w:rPr>
          <w:rFonts w:hint="eastAsia" w:ascii="宋体" w:hAnsi="宋体" w:eastAsia="宋体" w:cs="宋体"/>
          <w:sz w:val="32"/>
          <w:szCs w:val="3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r>
        <w:rPr>
          <w:rFonts w:hint="eastAsia" w:ascii="宋体" w:hAnsi="宋体" w:eastAsia="宋体" w:cs="宋体"/>
          <w:sz w:val="72"/>
        </w:rPr>
        <w:pict>
          <v:shape id="_x0000_s1039" o:spid="_x0000_s1039" o:spt="202" type="#_x0000_t202" style="position:absolute;left:0pt;margin-left:-90.8pt;margin-top:4.35pt;height:263.1pt;width:613.65pt;z-index:251663360;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path/>
            <v:fill type="pattern" on="t" color2="#FFFFFF" o:title="image1" focussize="0,0" r:id="rId30"/>
            <v:stroke weight="0.5pt" color="#FFD96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第二部分 </w:t>
                  </w:r>
                </w:p>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2019年部门决算情况说明</w:t>
                  </w:r>
                </w:p>
                <w:p>
                  <w:pPr/>
                </w:p>
              </w:txbxContent>
            </v:textbox>
          </v:shape>
        </w:pict>
      </w: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pStyle w:val="3"/>
        <w:spacing w:before="0" w:after="0" w:line="580" w:lineRule="exact"/>
        <w:ind w:firstLine="640" w:firstLineChars="200"/>
        <w:rPr>
          <w:rFonts w:hint="eastAsia" w:ascii="宋体" w:hAnsi="宋体" w:eastAsia="宋体" w:cs="宋体"/>
          <w:b w:val="0"/>
          <w:bCs w:val="0"/>
        </w:rPr>
      </w:pPr>
      <w:r>
        <w:rPr>
          <w:rFonts w:hint="eastAsia" w:ascii="宋体" w:hAnsi="宋体" w:eastAsia="宋体" w:cs="宋体"/>
          <w:b w:val="0"/>
          <w:bCs w:val="0"/>
        </w:rPr>
        <w:t>按照预算管理有关规定，目前我部门预算的编制实行综合预算制度，即全部收入和支出都反映在预算中阜城县码头中心卫生院及所属行政（事业）单位的收支包含在部门决算中。</w:t>
      </w:r>
    </w:p>
    <w:p>
      <w:pPr>
        <w:keepNext/>
        <w:keepLines/>
        <w:snapToGrid w:val="0"/>
        <w:spacing w:line="580" w:lineRule="exact"/>
        <w:ind w:firstLine="640" w:firstLineChars="200"/>
        <w:outlineLvl w:val="1"/>
        <w:rPr>
          <w:rFonts w:hint="eastAsia" w:ascii="宋体" w:hAnsi="宋体" w:eastAsia="宋体" w:cs="宋体"/>
          <w:sz w:val="32"/>
          <w:szCs w:val="32"/>
        </w:rPr>
      </w:pPr>
      <w:r>
        <w:rPr>
          <w:rFonts w:hint="eastAsia" w:ascii="宋体" w:hAnsi="宋体" w:eastAsia="宋体" w:cs="宋体"/>
          <w:sz w:val="32"/>
          <w:szCs w:val="32"/>
        </w:rPr>
        <w:t>一、收入</w:t>
      </w:r>
      <w:r>
        <w:rPr>
          <w:rFonts w:hint="eastAsia" w:ascii="宋体" w:hAnsi="宋体" w:eastAsia="宋体" w:cs="宋体"/>
          <w:kern w:val="0"/>
          <w:sz w:val="32"/>
          <w:szCs w:val="32"/>
        </w:rPr>
        <w:t>支出</w:t>
      </w:r>
      <w:r>
        <w:rPr>
          <w:rFonts w:hint="eastAsia" w:ascii="宋体" w:hAnsi="宋体" w:eastAsia="宋体" w:cs="宋体"/>
          <w:sz w:val="32"/>
          <w:szCs w:val="32"/>
        </w:rPr>
        <w:t>决算总体情况说明</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本部门2019年度收支总计（含结转和结余）836.54万元。与2018年度决算相比，收支各增加90.99万元，增长12.20%，主要原因是财政拨款收入、事业收入以及年初结转和结余都比上年度有所增加。</w:t>
      </w:r>
    </w:p>
    <w:p>
      <w:pPr>
        <w:keepNext/>
        <w:keepLines/>
        <w:snapToGrid w:val="0"/>
        <w:spacing w:line="580" w:lineRule="exact"/>
        <w:ind w:firstLine="640" w:firstLineChars="200"/>
        <w:outlineLvl w:val="1"/>
        <w:rPr>
          <w:rFonts w:hint="eastAsia" w:ascii="宋体" w:hAnsi="宋体" w:eastAsia="宋体" w:cs="宋体"/>
          <w:sz w:val="32"/>
          <w:szCs w:val="32"/>
        </w:rPr>
      </w:pPr>
      <w:r>
        <w:rPr>
          <w:rFonts w:hint="eastAsia" w:ascii="宋体" w:hAnsi="宋体" w:eastAsia="宋体" w:cs="宋体"/>
          <w:sz w:val="32"/>
          <w:szCs w:val="32"/>
        </w:rPr>
        <w:t>二、收入决算情况说明</w:t>
      </w:r>
    </w:p>
    <w:p>
      <w:pPr>
        <w:adjustRightInd w:val="0"/>
        <w:snapToGrid w:val="0"/>
        <w:spacing w:line="580" w:lineRule="exact"/>
        <w:ind w:firstLine="640" w:firstLineChars="200"/>
        <w:rPr>
          <w:rFonts w:hint="eastAsia" w:ascii="宋体" w:hAnsi="宋体" w:eastAsia="宋体" w:cs="宋体"/>
          <w:sz w:val="32"/>
          <w:szCs w:val="32"/>
          <w:highlight w:val="yellow"/>
        </w:rPr>
      </w:pPr>
      <w:r>
        <w:rPr>
          <w:rFonts w:hint="eastAsia" w:ascii="宋体" w:hAnsi="宋体" w:eastAsia="宋体" w:cs="宋体"/>
          <w:sz w:val="32"/>
          <w:szCs w:val="32"/>
        </w:rPr>
        <w:t>本部门2019年度本年收入合计775.36万元，其中：财政拨款收入523.69万元，占67.54%；事业收入251.68万元，占32.46%。</w:t>
      </w:r>
    </w:p>
    <w:p>
      <w:pPr>
        <w:keepNext/>
        <w:keepLines/>
        <w:snapToGrid w:val="0"/>
        <w:spacing w:line="580" w:lineRule="exact"/>
        <w:ind w:firstLine="640" w:firstLineChars="200"/>
        <w:outlineLvl w:val="1"/>
        <w:rPr>
          <w:rFonts w:hint="eastAsia" w:ascii="宋体" w:hAnsi="宋体" w:eastAsia="宋体" w:cs="宋体"/>
          <w:sz w:val="32"/>
          <w:szCs w:val="32"/>
        </w:rPr>
      </w:pPr>
      <w:r>
        <w:rPr>
          <w:rFonts w:hint="eastAsia" w:ascii="宋体" w:hAnsi="宋体" w:eastAsia="宋体" w:cs="宋体"/>
          <w:sz w:val="32"/>
          <w:szCs w:val="32"/>
        </w:rPr>
        <w:t>三、支出决算情况说明</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本部门2019年度本年支出合计670.17万元，其中：基本支出670.17万元，占100%。</w:t>
      </w:r>
    </w:p>
    <w:p>
      <w:pPr>
        <w:keepNext/>
        <w:keepLines/>
        <w:snapToGrid w:val="0"/>
        <w:spacing w:line="580" w:lineRule="exact"/>
        <w:ind w:firstLine="640" w:firstLineChars="200"/>
        <w:outlineLvl w:val="1"/>
        <w:rPr>
          <w:rFonts w:hint="eastAsia" w:ascii="宋体" w:hAnsi="宋体" w:eastAsia="宋体" w:cs="宋体"/>
          <w:sz w:val="32"/>
          <w:szCs w:val="32"/>
        </w:rPr>
      </w:pPr>
      <w:r>
        <w:rPr>
          <w:rFonts w:hint="eastAsia" w:ascii="宋体" w:hAnsi="宋体" w:eastAsia="宋体" w:cs="宋体"/>
          <w:sz w:val="32"/>
          <w:szCs w:val="32"/>
        </w:rPr>
        <w:t>四、</w:t>
      </w:r>
      <w:r>
        <w:rPr>
          <w:rFonts w:hint="eastAsia" w:ascii="宋体" w:hAnsi="宋体" w:eastAsia="宋体" w:cs="宋体"/>
          <w:kern w:val="0"/>
          <w:sz w:val="32"/>
          <w:szCs w:val="32"/>
        </w:rPr>
        <w:t>财政</w:t>
      </w:r>
      <w:r>
        <w:rPr>
          <w:rFonts w:hint="eastAsia" w:ascii="宋体" w:hAnsi="宋体" w:eastAsia="宋体" w:cs="宋体"/>
          <w:sz w:val="32"/>
          <w:szCs w:val="32"/>
        </w:rPr>
        <w:t>拨款收入支出决算总体情况说明</w:t>
      </w:r>
    </w:p>
    <w:p>
      <w:pPr>
        <w:snapToGrid w:val="0"/>
        <w:spacing w:line="58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（一）财政拨款收支与2018 年度决算对比情况</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部门2019年度形成的财政拨款收支均为一般公共预算财政拨款，其中本年收入523.69万元,比2018年度增加26.04万元，增长5.23%，主要是2019年基本公共卫生服务方面收入增加；本年支出473.94万元，减少28.52万元，降低5.68%，主要是单位离退休人员养老保险和职业年金支出较上年减少。</w:t>
      </w:r>
    </w:p>
    <w:p>
      <w:pPr>
        <w:snapToGrid w:val="0"/>
        <w:spacing w:line="58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（二）财政拨款收支与年初预算数对比情况</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本部门2019年度一般公共预算财政拨款收入523.69万元，完成年初预算的279.17%,比年初预算增加336.1</w:t>
      </w:r>
      <w:r>
        <w:rPr>
          <w:rFonts w:hint="eastAsia" w:ascii="宋体" w:hAnsi="宋体" w:eastAsia="宋体" w:cs="宋体"/>
          <w:sz w:val="32"/>
          <w:szCs w:val="32"/>
          <w:lang w:val="en-US" w:eastAsia="zh-CN"/>
        </w:rPr>
        <w:t>0</w:t>
      </w:r>
      <w:r>
        <w:rPr>
          <w:rFonts w:hint="eastAsia" w:ascii="宋体" w:hAnsi="宋体" w:eastAsia="宋体" w:cs="宋体"/>
          <w:sz w:val="32"/>
          <w:szCs w:val="32"/>
        </w:rPr>
        <w:t>万元，决算数大于预算数主要原因是年初预算只安排了人员经费；本年支出473.94万元，完成年初预算的252.67%,比年初预算增加286.35万元，决算数大于预算数主要原因是年初预算只安排了人员经费。</w:t>
      </w:r>
    </w:p>
    <w:p>
      <w:pPr>
        <w:numPr>
          <w:ilvl w:val="0"/>
          <w:numId w:val="1"/>
        </w:numPr>
        <w:adjustRightInd w:val="0"/>
        <w:snapToGrid w:val="0"/>
        <w:spacing w:line="580" w:lineRule="exact"/>
        <w:ind w:left="420" w:leftChars="200"/>
        <w:rPr>
          <w:rFonts w:hint="eastAsia" w:ascii="宋体" w:hAnsi="宋体" w:eastAsia="宋体" w:cs="宋体"/>
          <w:b/>
          <w:bCs/>
          <w:sz w:val="32"/>
          <w:szCs w:val="32"/>
        </w:rPr>
      </w:pPr>
      <w:r>
        <w:rPr>
          <w:rFonts w:hint="eastAsia" w:ascii="宋体" w:hAnsi="宋体" w:eastAsia="宋体" w:cs="宋体"/>
          <w:b/>
          <w:bCs/>
          <w:sz w:val="32"/>
          <w:szCs w:val="32"/>
        </w:rPr>
        <w:t>财政拨款支出决算结构情况。</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2019 年度财政拨款支出473.94万元，主要用于以下方面社会保障和就业（类）支出0.40</w:t>
      </w:r>
      <w:r>
        <w:rPr>
          <w:rFonts w:hint="eastAsia" w:ascii="宋体" w:hAnsi="宋体" w:eastAsia="宋体" w:cs="宋体"/>
          <w:sz w:val="32"/>
          <w:szCs w:val="32"/>
          <w:lang w:eastAsia="zh-CN"/>
        </w:rPr>
        <w:t>万</w:t>
      </w:r>
      <w:r>
        <w:rPr>
          <w:rFonts w:hint="eastAsia" w:ascii="宋体" w:hAnsi="宋体" w:eastAsia="宋体" w:cs="宋体"/>
          <w:sz w:val="32"/>
          <w:szCs w:val="32"/>
        </w:rPr>
        <w:t>元，占0.08%；卫生健康支出458.65万元，占96.77%；住房保障（类）支出14.88万元，占 3.14%。</w:t>
      </w:r>
    </w:p>
    <w:p>
      <w:pPr>
        <w:adjustRightInd w:val="0"/>
        <w:snapToGrid w:val="0"/>
        <w:spacing w:line="580" w:lineRule="exact"/>
        <w:ind w:left="420" w:leftChars="200"/>
        <w:rPr>
          <w:rFonts w:hint="eastAsia" w:ascii="宋体" w:hAnsi="宋体" w:eastAsia="宋体" w:cs="宋体"/>
          <w:b/>
          <w:bCs/>
          <w:sz w:val="32"/>
          <w:szCs w:val="32"/>
        </w:rPr>
      </w:pPr>
      <w:r>
        <w:rPr>
          <w:rFonts w:hint="eastAsia" w:ascii="宋体" w:hAnsi="宋体" w:eastAsia="宋体" w:cs="宋体"/>
          <w:b/>
          <w:bCs/>
          <w:sz w:val="32"/>
          <w:szCs w:val="32"/>
        </w:rPr>
        <w:t>（四）一般公共预算基本支出决算情况说明</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2019 年度财政拨款基本支出473.94万元，其中：人员经费 380.03万元，主要包括基本工资、津贴补贴、奖金、绩效工资、职业年金缴费、住房公积金、其他工资福利支出；公用经费93.91万元，主要包括办公费、印刷费、水费、电费、邮电费、取暖费、维修（护）费、专用材料费、专用燃料费、劳务费、工会经费、其他交通费用、办公设备购置、专用设备购置、信息网络及软件购置更新、其他资本性支出。</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五、一般公共预算“三公” 经费支出决算情况说明</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本部门2019年度“三公”经费支出共计0万元，与预算持平，与2018年度决算支出持平。具体情况如下：</w:t>
      </w:r>
    </w:p>
    <w:p>
      <w:pPr>
        <w:adjustRightInd w:val="0"/>
        <w:snapToGrid w:val="0"/>
        <w:spacing w:line="580" w:lineRule="exact"/>
        <w:ind w:firstLine="643" w:firstLineChars="200"/>
        <w:rPr>
          <w:rFonts w:hint="eastAsia" w:ascii="宋体" w:hAnsi="宋体" w:eastAsia="宋体" w:cs="宋体"/>
          <w:sz w:val="32"/>
          <w:szCs w:val="32"/>
        </w:rPr>
      </w:pPr>
      <w:r>
        <w:rPr>
          <w:rFonts w:hint="eastAsia" w:ascii="宋体" w:hAnsi="宋体" w:eastAsia="宋体" w:cs="宋体"/>
          <w:b/>
          <w:bCs/>
          <w:sz w:val="32"/>
          <w:szCs w:val="32"/>
        </w:rPr>
        <w:t>（一）因公出国（境）费支出0万元。</w:t>
      </w:r>
      <w:r>
        <w:rPr>
          <w:rFonts w:hint="eastAsia" w:ascii="宋体" w:hAnsi="宋体" w:eastAsia="宋体" w:cs="宋体"/>
          <w:sz w:val="32"/>
          <w:szCs w:val="32"/>
        </w:rPr>
        <w:t>本部门2019年度因公出国（境）团组0个、共0人/参加其他单位组织的因公出国（境）团组0个、0人/无本单位组织的出国（境）团组。因公出国（境）费支出为0，与预算持平，与2018年度决算支出持平。</w:t>
      </w:r>
    </w:p>
    <w:p>
      <w:pPr>
        <w:adjustRightInd w:val="0"/>
        <w:snapToGrid w:val="0"/>
        <w:spacing w:line="58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（二）公务用车购置及运行维护费支出0万元。</w:t>
      </w:r>
      <w:r>
        <w:rPr>
          <w:rFonts w:hint="eastAsia" w:ascii="宋体" w:hAnsi="宋体" w:eastAsia="宋体" w:cs="宋体"/>
          <w:sz w:val="32"/>
          <w:szCs w:val="32"/>
        </w:rPr>
        <w:t>本部门2019年度公务用车购置及运行维护费支出为0</w:t>
      </w:r>
      <w:r>
        <w:rPr>
          <w:rFonts w:hint="eastAsia" w:ascii="宋体" w:hAnsi="宋体" w:eastAsia="宋体" w:cs="宋体"/>
          <w:sz w:val="32"/>
          <w:szCs w:val="32"/>
          <w:lang w:eastAsia="zh-CN"/>
        </w:rPr>
        <w:t>万元</w:t>
      </w:r>
      <w:r>
        <w:rPr>
          <w:rFonts w:hint="eastAsia" w:ascii="宋体" w:hAnsi="宋体" w:eastAsia="宋体" w:cs="宋体"/>
          <w:sz w:val="32"/>
          <w:szCs w:val="32"/>
        </w:rPr>
        <w:t>，与预算持平，与2018年度决算支出持平。</w:t>
      </w:r>
      <w:r>
        <w:rPr>
          <w:rFonts w:hint="eastAsia" w:ascii="宋体" w:hAnsi="宋体" w:eastAsia="宋体" w:cs="宋体"/>
          <w:b/>
          <w:bCs/>
          <w:sz w:val="32"/>
          <w:szCs w:val="32"/>
        </w:rPr>
        <w:t>其中：</w:t>
      </w:r>
    </w:p>
    <w:p>
      <w:pPr>
        <w:adjustRightInd w:val="0"/>
        <w:snapToGrid w:val="0"/>
        <w:spacing w:line="580" w:lineRule="exact"/>
        <w:ind w:firstLine="643" w:firstLineChars="200"/>
        <w:rPr>
          <w:rFonts w:hint="eastAsia" w:ascii="宋体" w:hAnsi="宋体" w:eastAsia="宋体" w:cs="宋体"/>
          <w:sz w:val="32"/>
          <w:szCs w:val="32"/>
        </w:rPr>
      </w:pPr>
      <w:r>
        <w:rPr>
          <w:rFonts w:hint="eastAsia" w:ascii="宋体" w:hAnsi="宋体" w:eastAsia="宋体" w:cs="宋体"/>
          <w:b/>
          <w:sz w:val="32"/>
          <w:szCs w:val="32"/>
        </w:rPr>
        <w:t>公务用车购置费：</w:t>
      </w:r>
      <w:r>
        <w:rPr>
          <w:rFonts w:hint="eastAsia" w:ascii="宋体" w:hAnsi="宋体" w:eastAsia="宋体" w:cs="宋体"/>
          <w:sz w:val="32"/>
          <w:szCs w:val="32"/>
        </w:rPr>
        <w:t>本部门2019年度公务用车购置量0辆，发生“公务用车购置”经费支出0万元。公务用车购置费支出与预算持平，与2018年度决算支出持平。</w:t>
      </w:r>
    </w:p>
    <w:p>
      <w:pPr>
        <w:adjustRightInd w:val="0"/>
        <w:snapToGrid w:val="0"/>
        <w:spacing w:line="580" w:lineRule="exact"/>
        <w:ind w:firstLine="643" w:firstLineChars="200"/>
        <w:rPr>
          <w:rFonts w:hint="eastAsia" w:ascii="宋体" w:hAnsi="宋体" w:eastAsia="宋体" w:cs="宋体"/>
          <w:sz w:val="32"/>
          <w:szCs w:val="32"/>
        </w:rPr>
      </w:pPr>
      <w:r>
        <w:rPr>
          <w:rFonts w:hint="eastAsia" w:ascii="宋体" w:hAnsi="宋体" w:eastAsia="宋体" w:cs="宋体"/>
          <w:b/>
          <w:sz w:val="32"/>
          <w:szCs w:val="32"/>
        </w:rPr>
        <w:t>公务用车运行维护费：</w:t>
      </w:r>
      <w:r>
        <w:rPr>
          <w:rFonts w:hint="eastAsia" w:ascii="宋体" w:hAnsi="宋体" w:eastAsia="宋体" w:cs="宋体"/>
          <w:sz w:val="32"/>
          <w:szCs w:val="32"/>
        </w:rPr>
        <w:t>本部门2019年度单位公务用车保有量0辆。公车运行维护费支出与预算持平，与2018年度决算支出持平。</w:t>
      </w:r>
    </w:p>
    <w:p>
      <w:pPr>
        <w:adjustRightInd w:val="0"/>
        <w:snapToGrid w:val="0"/>
        <w:spacing w:line="580" w:lineRule="exact"/>
        <w:ind w:firstLine="643" w:firstLineChars="200"/>
        <w:rPr>
          <w:rFonts w:hint="eastAsia" w:ascii="宋体" w:hAnsi="宋体" w:eastAsia="宋体" w:cs="宋体"/>
          <w:sz w:val="32"/>
          <w:szCs w:val="32"/>
        </w:rPr>
      </w:pPr>
      <w:r>
        <w:rPr>
          <w:rFonts w:hint="eastAsia" w:ascii="宋体" w:hAnsi="宋体" w:eastAsia="宋体" w:cs="宋体"/>
          <w:b/>
          <w:bCs/>
          <w:sz w:val="32"/>
          <w:szCs w:val="32"/>
        </w:rPr>
        <w:t>（三）公务接待费支出0万元。</w:t>
      </w:r>
      <w:r>
        <w:rPr>
          <w:rFonts w:hint="eastAsia" w:ascii="宋体" w:hAnsi="宋体" w:eastAsia="宋体" w:cs="宋体"/>
          <w:sz w:val="32"/>
          <w:szCs w:val="32"/>
        </w:rPr>
        <w:t>本部门2019年度公务接待共0批次、0人次。公务接待费支出与</w:t>
      </w:r>
      <w:bookmarkStart w:id="0" w:name="_GoBack"/>
      <w:bookmarkEnd w:id="0"/>
      <w:r>
        <w:rPr>
          <w:rFonts w:hint="eastAsia" w:ascii="宋体" w:hAnsi="宋体" w:eastAsia="宋体" w:cs="宋体"/>
          <w:sz w:val="32"/>
          <w:szCs w:val="32"/>
        </w:rPr>
        <w:t>预算持平，与2018年度决算支出持平。</w:t>
      </w:r>
    </w:p>
    <w:p>
      <w:pPr>
        <w:adjustRightInd w:val="0"/>
        <w:snapToGrid w:val="0"/>
        <w:spacing w:line="580" w:lineRule="exact"/>
        <w:ind w:firstLine="640" w:firstLineChars="200"/>
        <w:rPr>
          <w:rFonts w:hint="eastAsia" w:ascii="宋体" w:hAnsi="宋体" w:eastAsia="宋体" w:cs="宋体"/>
          <w:sz w:val="32"/>
          <w:szCs w:val="40"/>
        </w:rPr>
      </w:pPr>
      <w:r>
        <w:rPr>
          <w:rFonts w:hint="eastAsia" w:ascii="宋体" w:hAnsi="宋体" w:eastAsia="宋体" w:cs="宋体"/>
          <w:sz w:val="32"/>
          <w:szCs w:val="40"/>
        </w:rPr>
        <w:t>六、预算绩效情况说明</w:t>
      </w:r>
    </w:p>
    <w:p>
      <w:pPr>
        <w:adjustRightInd w:val="0"/>
        <w:snapToGrid w:val="0"/>
        <w:spacing w:line="58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1. 预算绩效管理工作开展情况。</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根据预算绩效管理要求，本单位组织对2019年度一般公共预算项目支出全面开展绩效自评，其中，二级项目1个，共涉及资金40.9万元，占一般公共预算项目支出总额的7.55%。组织对“基本药物制度”项目开展了单位评价，涉及一般公共预算支出40.9万元。从评价情况来看，总体得分98.3分，评价等级为”优”。</w:t>
      </w:r>
    </w:p>
    <w:p>
      <w:pPr>
        <w:adjustRightInd w:val="0"/>
        <w:snapToGrid w:val="0"/>
        <w:spacing w:line="580" w:lineRule="exact"/>
        <w:ind w:left="420" w:leftChars="200" w:firstLine="321" w:firstLineChars="100"/>
        <w:rPr>
          <w:rFonts w:hint="eastAsia" w:ascii="宋体" w:hAnsi="宋体" w:eastAsia="宋体" w:cs="宋体"/>
          <w:b/>
          <w:bCs/>
          <w:sz w:val="32"/>
          <w:szCs w:val="32"/>
        </w:rPr>
      </w:pPr>
      <w:r>
        <w:rPr>
          <w:rFonts w:hint="eastAsia" w:ascii="宋体" w:hAnsi="宋体" w:eastAsia="宋体" w:cs="宋体"/>
          <w:b/>
          <w:bCs/>
          <w:sz w:val="32"/>
          <w:szCs w:val="32"/>
        </w:rPr>
        <w:t>2. 部门决算中项目绩效自评结果。</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本单位在今年部门决算公开中反映“基本药物制度”项目绩效自评结果。</w:t>
      </w:r>
    </w:p>
    <w:p>
      <w:pPr>
        <w:widowControl/>
        <w:spacing w:line="160" w:lineRule="atLeast"/>
        <w:ind w:firstLine="640" w:firstLineChars="200"/>
        <w:jc w:val="center"/>
        <w:rPr>
          <w:rFonts w:hint="eastAsia" w:ascii="宋体" w:hAnsi="宋体" w:eastAsia="宋体" w:cs="宋体"/>
          <w:sz w:val="32"/>
          <w:szCs w:val="32"/>
        </w:rPr>
      </w:pPr>
      <w:r>
        <w:rPr>
          <w:rFonts w:hint="eastAsia" w:ascii="宋体" w:hAnsi="宋体" w:eastAsia="宋体" w:cs="宋体"/>
          <w:sz w:val="32"/>
          <w:szCs w:val="32"/>
        </w:rPr>
        <w:t>“基本药物制度”项目自评综述：根据年初设定的绩效目标，“基本药物制度”项目绩效自评得分为98.3分（绩效自评表附后）。全年预算数为40.9万元，执行数为40.9万元，完成预算的100%。项目绩效目标完成情况：一是保证所有政府办基层医疗卫生机构实施国家基本药物制度，推进综合改革顺利进行</w:t>
      </w:r>
    </w:p>
    <w:p>
      <w:pPr>
        <w:pStyle w:val="8"/>
        <w:shd w:val="clear" w:color="auto" w:fill="FFFFFF"/>
        <w:spacing w:line="315" w:lineRule="atLeast"/>
        <w:ind w:firstLine="480"/>
        <w:rPr>
          <w:rFonts w:hint="eastAsia" w:ascii="宋体" w:hAnsi="宋体" w:eastAsia="宋体" w:cs="宋体"/>
          <w:color w:val="333333"/>
          <w:sz w:val="32"/>
        </w:rPr>
      </w:pPr>
      <w:r>
        <w:rPr>
          <w:rFonts w:hint="eastAsia" w:ascii="宋体" w:hAnsi="宋体" w:eastAsia="宋体" w:cs="宋体"/>
          <w:sz w:val="32"/>
          <w:szCs w:val="32"/>
        </w:rPr>
        <w:t>对实施国家基本药物制度的村卫生室给予补助，支付国家基本药物制度在村卫生室顺利实施　；二是保证所有政府办基层医疗卫生机构实施国家基本药物制度，推进综合改革顺利进行，已完成。对实施国家基本药物制度的村卫生室给予补助，支付国家基本药物制度在村卫生室顺利实施，已完成。发现的主要问题及原因：一是</w:t>
      </w:r>
      <w:r>
        <w:rPr>
          <w:rFonts w:hint="eastAsia" w:ascii="宋体" w:hAnsi="宋体" w:eastAsia="宋体" w:cs="宋体"/>
          <w:color w:val="333333"/>
          <w:sz w:val="32"/>
        </w:rPr>
        <w:t>基本药物政策性补助不足。基药制度实施前基层医疗卫生机构药品实际加成率约为45%左右，而上级基药补助则按15%进行测算，同时，实际执行补助时，采用的人口口径数偏小，致使补助资金数明显小于实际支出，基层医疗卫生机构因此运转困难。</w:t>
      </w:r>
      <w:r>
        <w:rPr>
          <w:rFonts w:hint="eastAsia" w:ascii="宋体" w:hAnsi="宋体" w:eastAsia="宋体" w:cs="宋体"/>
          <w:sz w:val="32"/>
          <w:szCs w:val="32"/>
        </w:rPr>
        <w:t>；二是</w:t>
      </w:r>
      <w:r>
        <w:rPr>
          <w:rFonts w:hint="eastAsia" w:ascii="宋体" w:hAnsi="宋体" w:eastAsia="宋体" w:cs="宋体"/>
          <w:color w:val="333333"/>
          <w:sz w:val="32"/>
        </w:rPr>
        <w:t>医疗卫生机构使用的药品价格相对固定，与药品零售店自主的定价机制比较起来，显得灵活性不足，削弱了医疗机构的竞争力</w:t>
      </w:r>
      <w:r>
        <w:rPr>
          <w:rFonts w:hint="eastAsia" w:ascii="宋体" w:hAnsi="宋体" w:eastAsia="宋体" w:cs="宋体"/>
          <w:sz w:val="32"/>
          <w:szCs w:val="32"/>
        </w:rPr>
        <w:t>。下一步改进措施：一是</w:t>
      </w:r>
      <w:r>
        <w:rPr>
          <w:rFonts w:hint="eastAsia" w:ascii="宋体" w:hAnsi="宋体" w:eastAsia="宋体" w:cs="宋体"/>
          <w:color w:val="333333"/>
          <w:sz w:val="32"/>
        </w:rPr>
        <w:t>建议进一步向上反映这一情况，确保基层医疗卫生机构可持续发展</w:t>
      </w:r>
      <w:r>
        <w:rPr>
          <w:rFonts w:hint="eastAsia" w:ascii="宋体" w:hAnsi="宋体" w:eastAsia="宋体" w:cs="宋体"/>
          <w:sz w:val="32"/>
          <w:szCs w:val="32"/>
        </w:rPr>
        <w:t>；二是</w:t>
      </w:r>
      <w:r>
        <w:rPr>
          <w:rFonts w:hint="eastAsia" w:ascii="宋体" w:hAnsi="宋体" w:eastAsia="宋体" w:cs="宋体"/>
          <w:color w:val="333333"/>
          <w:sz w:val="32"/>
        </w:rPr>
        <w:t>建议完善省级药物政策，完善省级药物采购平台的功能，为“医疗、医药、医保”三医联动奠定坚实的基础。</w:t>
      </w:r>
    </w:p>
    <w:p>
      <w:pPr>
        <w:keepNext/>
        <w:keepLines/>
        <w:snapToGrid w:val="0"/>
        <w:spacing w:line="580" w:lineRule="exact"/>
        <w:ind w:left="640"/>
        <w:outlineLvl w:val="1"/>
        <w:rPr>
          <w:rFonts w:hint="eastAsia" w:ascii="宋体" w:hAnsi="宋体" w:eastAsia="宋体" w:cs="宋体"/>
          <w:b/>
          <w:bCs/>
          <w:sz w:val="32"/>
          <w:szCs w:val="32"/>
        </w:rPr>
      </w:pPr>
      <w:r>
        <w:rPr>
          <w:rFonts w:hint="eastAsia" w:ascii="宋体" w:hAnsi="宋体" w:eastAsia="宋体" w:cs="宋体"/>
          <w:b/>
          <w:bCs/>
          <w:sz w:val="32"/>
          <w:szCs w:val="32"/>
        </w:rPr>
        <w:t>3.财政评价项目绩效评价结果</w:t>
      </w:r>
    </w:p>
    <w:tbl>
      <w:tblPr>
        <w:tblStyle w:val="11"/>
        <w:tblW w:w="8522" w:type="dxa"/>
        <w:tblInd w:w="0" w:type="dxa"/>
        <w:tblLayout w:type="fixed"/>
        <w:tblCellMar>
          <w:top w:w="0" w:type="dxa"/>
          <w:left w:w="108" w:type="dxa"/>
          <w:bottom w:w="0" w:type="dxa"/>
          <w:right w:w="108" w:type="dxa"/>
        </w:tblCellMar>
      </w:tblPr>
      <w:tblGrid>
        <w:gridCol w:w="1412"/>
        <w:gridCol w:w="1006"/>
        <w:gridCol w:w="910"/>
        <w:gridCol w:w="989"/>
        <w:gridCol w:w="86"/>
        <w:gridCol w:w="824"/>
        <w:gridCol w:w="1084"/>
        <w:gridCol w:w="1113"/>
        <w:gridCol w:w="1098"/>
      </w:tblGrid>
      <w:tr>
        <w:tblPrEx>
          <w:tblLayout w:type="fixed"/>
          <w:tblCellMar>
            <w:top w:w="0" w:type="dxa"/>
            <w:left w:w="108" w:type="dxa"/>
            <w:bottom w:w="0" w:type="dxa"/>
            <w:right w:w="108" w:type="dxa"/>
          </w:tblCellMar>
        </w:tblPrEx>
        <w:trPr>
          <w:trHeight w:val="474" w:hRule="atLeast"/>
        </w:trPr>
        <w:tc>
          <w:tcPr>
            <w:tcW w:w="8522" w:type="dxa"/>
            <w:gridSpan w:val="9"/>
            <w:tcBorders>
              <w:top w:val="nil"/>
              <w:left w:val="nil"/>
              <w:bottom w:val="nil"/>
              <w:right w:val="nil"/>
            </w:tcBorders>
            <w:shd w:val="clear" w:color="auto" w:fill="auto"/>
            <w:vAlign w:val="center"/>
          </w:tcPr>
          <w:p>
            <w:pPr>
              <w:widowControl/>
              <w:spacing w:line="160" w:lineRule="atLeast"/>
              <w:jc w:val="center"/>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县级部门预算项目绩效自评表</w:t>
            </w:r>
          </w:p>
        </w:tc>
      </w:tr>
      <w:tr>
        <w:tblPrEx>
          <w:tblLayout w:type="fixed"/>
          <w:tblCellMar>
            <w:top w:w="0" w:type="dxa"/>
            <w:left w:w="108" w:type="dxa"/>
            <w:bottom w:w="0" w:type="dxa"/>
            <w:right w:w="108" w:type="dxa"/>
          </w:tblCellMar>
        </w:tblPrEx>
        <w:trPr>
          <w:trHeight w:val="282" w:hRule="atLeast"/>
        </w:trPr>
        <w:tc>
          <w:tcPr>
            <w:tcW w:w="8522" w:type="dxa"/>
            <w:gridSpan w:val="9"/>
            <w:tcBorders>
              <w:top w:val="nil"/>
              <w:left w:val="nil"/>
              <w:bottom w:val="nil"/>
              <w:right w:val="nil"/>
            </w:tcBorders>
            <w:shd w:val="clear" w:color="auto" w:fill="auto"/>
            <w:vAlign w:val="center"/>
          </w:tcPr>
          <w:p>
            <w:pPr>
              <w:widowControl/>
              <w:spacing w:line="160" w:lineRule="atLeast"/>
              <w:jc w:val="center"/>
              <w:rPr>
                <w:rFonts w:hint="eastAsia" w:ascii="宋体" w:hAnsi="宋体" w:eastAsia="宋体" w:cs="宋体"/>
                <w:color w:val="000000"/>
                <w:kern w:val="0"/>
                <w:sz w:val="22"/>
              </w:rPr>
            </w:pPr>
            <w:r>
              <w:rPr>
                <w:rFonts w:hint="eastAsia" w:ascii="宋体" w:hAnsi="宋体" w:eastAsia="宋体" w:cs="宋体"/>
                <w:color w:val="000000"/>
                <w:kern w:val="0"/>
                <w:sz w:val="22"/>
              </w:rPr>
              <w:t>（2019 年度）</w:t>
            </w:r>
          </w:p>
        </w:tc>
      </w:tr>
      <w:tr>
        <w:tblPrEx>
          <w:tblLayout w:type="fixed"/>
          <w:tblCellMar>
            <w:top w:w="0" w:type="dxa"/>
            <w:left w:w="108" w:type="dxa"/>
            <w:bottom w:w="0" w:type="dxa"/>
            <w:right w:w="108" w:type="dxa"/>
          </w:tblCellMar>
        </w:tblPrEx>
        <w:trPr>
          <w:trHeight w:val="222" w:hRule="atLeast"/>
        </w:trPr>
        <w:tc>
          <w:tcPr>
            <w:tcW w:w="1412" w:type="dxa"/>
            <w:tcBorders>
              <w:top w:val="nil"/>
              <w:left w:val="nil"/>
              <w:bottom w:val="nil"/>
              <w:right w:val="nil"/>
            </w:tcBorders>
            <w:shd w:val="clear" w:color="auto" w:fill="auto"/>
            <w:vAlign w:val="center"/>
          </w:tcPr>
          <w:p>
            <w:pPr>
              <w:widowControl/>
              <w:spacing w:line="160" w:lineRule="atLeast"/>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填报单位：</w:t>
            </w:r>
          </w:p>
        </w:tc>
        <w:tc>
          <w:tcPr>
            <w:tcW w:w="1916" w:type="dxa"/>
            <w:gridSpan w:val="2"/>
            <w:tcBorders>
              <w:top w:val="nil"/>
              <w:left w:val="nil"/>
              <w:bottom w:val="nil"/>
              <w:right w:val="nil"/>
            </w:tcBorders>
            <w:shd w:val="clear" w:color="auto" w:fill="auto"/>
            <w:vAlign w:val="center"/>
          </w:tcPr>
          <w:p>
            <w:pPr>
              <w:widowControl/>
              <w:spacing w:line="160" w:lineRule="atLeast"/>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阜城县卫健局</w:t>
            </w:r>
          </w:p>
        </w:tc>
        <w:tc>
          <w:tcPr>
            <w:tcW w:w="989" w:type="dxa"/>
            <w:tcBorders>
              <w:top w:val="nil"/>
              <w:left w:val="nil"/>
              <w:bottom w:val="nil"/>
              <w:right w:val="nil"/>
            </w:tcBorders>
            <w:shd w:val="clear" w:color="auto" w:fill="auto"/>
            <w:vAlign w:val="center"/>
          </w:tcPr>
          <w:p>
            <w:pPr>
              <w:widowControl/>
              <w:spacing w:line="160" w:lineRule="atLeast"/>
              <w:jc w:val="left"/>
              <w:rPr>
                <w:rFonts w:hint="eastAsia" w:ascii="宋体" w:hAnsi="宋体" w:eastAsia="宋体" w:cs="宋体"/>
                <w:color w:val="000000"/>
                <w:kern w:val="0"/>
                <w:sz w:val="20"/>
                <w:szCs w:val="20"/>
              </w:rPr>
            </w:pPr>
          </w:p>
        </w:tc>
        <w:tc>
          <w:tcPr>
            <w:tcW w:w="910" w:type="dxa"/>
            <w:gridSpan w:val="2"/>
            <w:tcBorders>
              <w:top w:val="nil"/>
              <w:left w:val="nil"/>
              <w:bottom w:val="nil"/>
              <w:right w:val="nil"/>
            </w:tcBorders>
            <w:shd w:val="clear" w:color="auto" w:fill="auto"/>
            <w:vAlign w:val="center"/>
          </w:tcPr>
          <w:p>
            <w:pPr>
              <w:widowControl/>
              <w:spacing w:line="160" w:lineRule="atLeast"/>
              <w:jc w:val="left"/>
              <w:rPr>
                <w:rFonts w:hint="eastAsia" w:ascii="宋体" w:hAnsi="宋体" w:eastAsia="宋体" w:cs="宋体"/>
                <w:color w:val="000000"/>
                <w:kern w:val="0"/>
                <w:sz w:val="20"/>
                <w:szCs w:val="20"/>
              </w:rPr>
            </w:pPr>
          </w:p>
        </w:tc>
        <w:tc>
          <w:tcPr>
            <w:tcW w:w="1084" w:type="dxa"/>
            <w:tcBorders>
              <w:top w:val="nil"/>
              <w:left w:val="nil"/>
              <w:bottom w:val="nil"/>
              <w:right w:val="nil"/>
            </w:tcBorders>
            <w:shd w:val="clear" w:color="auto" w:fill="auto"/>
            <w:vAlign w:val="center"/>
          </w:tcPr>
          <w:p>
            <w:pPr>
              <w:widowControl/>
              <w:spacing w:line="160" w:lineRule="atLeast"/>
              <w:jc w:val="left"/>
              <w:rPr>
                <w:rFonts w:hint="eastAsia" w:ascii="宋体" w:hAnsi="宋体" w:eastAsia="宋体" w:cs="宋体"/>
                <w:color w:val="000000"/>
                <w:kern w:val="0"/>
                <w:sz w:val="20"/>
                <w:szCs w:val="20"/>
              </w:rPr>
            </w:pPr>
          </w:p>
        </w:tc>
        <w:tc>
          <w:tcPr>
            <w:tcW w:w="2211" w:type="dxa"/>
            <w:gridSpan w:val="2"/>
            <w:tcBorders>
              <w:top w:val="nil"/>
              <w:left w:val="nil"/>
              <w:bottom w:val="single" w:color="auto" w:sz="4" w:space="0"/>
              <w:right w:val="nil"/>
            </w:tcBorders>
            <w:shd w:val="clear" w:color="auto" w:fill="auto"/>
            <w:vAlign w:val="center"/>
          </w:tcPr>
          <w:p>
            <w:pPr>
              <w:widowControl/>
              <w:spacing w:line="160" w:lineRule="atLeas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108" w:type="dxa"/>
            <w:bottom w:w="0" w:type="dxa"/>
            <w:right w:w="108" w:type="dxa"/>
          </w:tblCellMar>
        </w:tblPrEx>
        <w:trPr>
          <w:trHeight w:val="494" w:hRule="atLeast"/>
        </w:trPr>
        <w:tc>
          <w:tcPr>
            <w:tcW w:w="14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一、基本情况</w:t>
            </w:r>
          </w:p>
        </w:tc>
        <w:tc>
          <w:tcPr>
            <w:tcW w:w="1006" w:type="dxa"/>
            <w:tcBorders>
              <w:top w:val="single" w:color="auto" w:sz="4" w:space="0"/>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项目名称</w:t>
            </w:r>
          </w:p>
        </w:tc>
        <w:tc>
          <w:tcPr>
            <w:tcW w:w="2809"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基本药物制度（专项资金）　</w:t>
            </w:r>
          </w:p>
        </w:tc>
        <w:tc>
          <w:tcPr>
            <w:tcW w:w="1084" w:type="dxa"/>
            <w:tcBorders>
              <w:top w:val="single" w:color="auto" w:sz="4" w:space="0"/>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实施（主管）单位</w:t>
            </w:r>
          </w:p>
        </w:tc>
        <w:tc>
          <w:tcPr>
            <w:tcW w:w="2211"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十个乡镇卫生院　</w:t>
            </w:r>
          </w:p>
        </w:tc>
      </w:tr>
      <w:tr>
        <w:tblPrEx>
          <w:tblLayout w:type="fixed"/>
          <w:tblCellMar>
            <w:top w:w="0" w:type="dxa"/>
            <w:left w:w="108" w:type="dxa"/>
            <w:bottom w:w="0" w:type="dxa"/>
            <w:right w:w="108" w:type="dxa"/>
          </w:tblCellMar>
        </w:tblPrEx>
        <w:trPr>
          <w:trHeight w:val="459" w:hRule="atLeast"/>
        </w:trPr>
        <w:tc>
          <w:tcPr>
            <w:tcW w:w="141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二、预算执行情况</w:t>
            </w:r>
          </w:p>
        </w:tc>
        <w:tc>
          <w:tcPr>
            <w:tcW w:w="1916"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预算安排情况（调整后）</w:t>
            </w:r>
          </w:p>
        </w:tc>
        <w:tc>
          <w:tcPr>
            <w:tcW w:w="1899"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资金到位情况</w:t>
            </w:r>
          </w:p>
        </w:tc>
        <w:tc>
          <w:tcPr>
            <w:tcW w:w="2197"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资金执行情况</w:t>
            </w:r>
          </w:p>
        </w:tc>
        <w:tc>
          <w:tcPr>
            <w:tcW w:w="1098" w:type="dxa"/>
            <w:tcBorders>
              <w:top w:val="nil"/>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预算执行进度</w:t>
            </w:r>
          </w:p>
        </w:tc>
      </w:tr>
      <w:tr>
        <w:tblPrEx>
          <w:tblLayout w:type="fixed"/>
          <w:tblCellMar>
            <w:top w:w="0" w:type="dxa"/>
            <w:left w:w="108" w:type="dxa"/>
            <w:bottom w:w="0" w:type="dxa"/>
            <w:right w:w="108" w:type="dxa"/>
          </w:tblCellMar>
        </w:tblPrEx>
        <w:trPr>
          <w:trHeight w:val="292" w:hRule="atLeast"/>
        </w:trPr>
        <w:tc>
          <w:tcPr>
            <w:tcW w:w="1412" w:type="dxa"/>
            <w:vMerge w:val="continue"/>
            <w:tcBorders>
              <w:top w:val="nil"/>
              <w:left w:val="single" w:color="auto" w:sz="4" w:space="0"/>
              <w:bottom w:val="single" w:color="auto"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006" w:type="dxa"/>
            <w:tcBorders>
              <w:top w:val="nil"/>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预算数</w:t>
            </w:r>
          </w:p>
        </w:tc>
        <w:tc>
          <w:tcPr>
            <w:tcW w:w="910" w:type="dxa"/>
            <w:tcBorders>
              <w:top w:val="nil"/>
              <w:left w:val="nil"/>
              <w:bottom w:val="single" w:color="auto" w:sz="4" w:space="0"/>
              <w:right w:val="single" w:color="auto" w:sz="4" w:space="0"/>
            </w:tcBorders>
            <w:shd w:val="clear" w:color="auto" w:fill="auto"/>
            <w:vAlign w:val="center"/>
          </w:tcPr>
          <w:p>
            <w:pPr>
              <w:widowControl/>
              <w:spacing w:line="160" w:lineRule="atLeas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409.29　</w:t>
            </w:r>
          </w:p>
        </w:tc>
        <w:tc>
          <w:tcPr>
            <w:tcW w:w="1075" w:type="dxa"/>
            <w:gridSpan w:val="2"/>
            <w:tcBorders>
              <w:top w:val="nil"/>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到位数</w:t>
            </w:r>
          </w:p>
        </w:tc>
        <w:tc>
          <w:tcPr>
            <w:tcW w:w="824" w:type="dxa"/>
            <w:tcBorders>
              <w:top w:val="nil"/>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409.29　</w:t>
            </w:r>
          </w:p>
        </w:tc>
        <w:tc>
          <w:tcPr>
            <w:tcW w:w="1084" w:type="dxa"/>
            <w:tcBorders>
              <w:top w:val="nil"/>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执行数</w:t>
            </w:r>
          </w:p>
        </w:tc>
        <w:tc>
          <w:tcPr>
            <w:tcW w:w="1113"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337.95</w:t>
            </w:r>
          </w:p>
        </w:tc>
        <w:tc>
          <w:tcPr>
            <w:tcW w:w="109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83%</w:t>
            </w:r>
          </w:p>
        </w:tc>
      </w:tr>
      <w:tr>
        <w:tblPrEx>
          <w:tblLayout w:type="fixed"/>
          <w:tblCellMar>
            <w:top w:w="0" w:type="dxa"/>
            <w:left w:w="108" w:type="dxa"/>
            <w:bottom w:w="0" w:type="dxa"/>
            <w:right w:w="108" w:type="dxa"/>
          </w:tblCellMar>
        </w:tblPrEx>
        <w:trPr>
          <w:trHeight w:val="575" w:hRule="atLeast"/>
        </w:trPr>
        <w:tc>
          <w:tcPr>
            <w:tcW w:w="1412" w:type="dxa"/>
            <w:vMerge w:val="continue"/>
            <w:tcBorders>
              <w:top w:val="nil"/>
              <w:left w:val="single" w:color="auto" w:sz="4" w:space="0"/>
              <w:bottom w:val="single" w:color="auto"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006" w:type="dxa"/>
            <w:tcBorders>
              <w:top w:val="nil"/>
              <w:left w:val="nil"/>
              <w:bottom w:val="single" w:color="auto" w:sz="4" w:space="0"/>
              <w:right w:val="single" w:color="auto" w:sz="4" w:space="0"/>
            </w:tcBorders>
            <w:shd w:val="clear" w:color="auto" w:fill="auto"/>
            <w:vAlign w:val="center"/>
          </w:tcPr>
          <w:p>
            <w:pPr>
              <w:widowControl/>
              <w:spacing w:line="160" w:lineRule="atLeast"/>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其中：财政资金</w:t>
            </w:r>
          </w:p>
        </w:tc>
        <w:tc>
          <w:tcPr>
            <w:tcW w:w="910"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409.29</w:t>
            </w:r>
          </w:p>
        </w:tc>
        <w:tc>
          <w:tcPr>
            <w:tcW w:w="1075" w:type="dxa"/>
            <w:gridSpan w:val="2"/>
            <w:tcBorders>
              <w:top w:val="nil"/>
              <w:left w:val="nil"/>
              <w:bottom w:val="single" w:color="auto" w:sz="4" w:space="0"/>
              <w:right w:val="single" w:color="auto" w:sz="4" w:space="0"/>
            </w:tcBorders>
            <w:shd w:val="clear" w:color="auto" w:fill="auto"/>
            <w:vAlign w:val="center"/>
          </w:tcPr>
          <w:p>
            <w:pPr>
              <w:widowControl/>
              <w:spacing w:line="160" w:lineRule="atLeast"/>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其中：财政资金</w:t>
            </w:r>
          </w:p>
        </w:tc>
        <w:tc>
          <w:tcPr>
            <w:tcW w:w="824"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409.29</w:t>
            </w:r>
          </w:p>
        </w:tc>
        <w:tc>
          <w:tcPr>
            <w:tcW w:w="1084" w:type="dxa"/>
            <w:tcBorders>
              <w:top w:val="nil"/>
              <w:left w:val="nil"/>
              <w:bottom w:val="single" w:color="auto" w:sz="4" w:space="0"/>
              <w:right w:val="single" w:color="auto" w:sz="4" w:space="0"/>
            </w:tcBorders>
            <w:shd w:val="clear" w:color="auto" w:fill="auto"/>
            <w:vAlign w:val="center"/>
          </w:tcPr>
          <w:p>
            <w:pPr>
              <w:widowControl/>
              <w:spacing w:line="160" w:lineRule="atLeast"/>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其中：财政资金</w:t>
            </w:r>
          </w:p>
        </w:tc>
        <w:tc>
          <w:tcPr>
            <w:tcW w:w="1113"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337.95</w:t>
            </w:r>
          </w:p>
        </w:tc>
        <w:tc>
          <w:tcPr>
            <w:tcW w:w="1098" w:type="dxa"/>
            <w:vMerge w:val="continue"/>
            <w:tcBorders>
              <w:top w:val="nil"/>
              <w:left w:val="single" w:color="auto" w:sz="4" w:space="0"/>
              <w:bottom w:val="single" w:color="auto"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292" w:hRule="atLeast"/>
        </w:trPr>
        <w:tc>
          <w:tcPr>
            <w:tcW w:w="1412" w:type="dxa"/>
            <w:vMerge w:val="continue"/>
            <w:tcBorders>
              <w:top w:val="nil"/>
              <w:left w:val="single" w:color="auto" w:sz="4" w:space="0"/>
              <w:bottom w:val="single" w:color="auto"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006" w:type="dxa"/>
            <w:tcBorders>
              <w:top w:val="nil"/>
              <w:left w:val="nil"/>
              <w:bottom w:val="single" w:color="auto" w:sz="4" w:space="0"/>
              <w:right w:val="single" w:color="auto" w:sz="4" w:space="0"/>
            </w:tcBorders>
            <w:shd w:val="clear" w:color="auto" w:fill="auto"/>
            <w:vAlign w:val="center"/>
          </w:tcPr>
          <w:p>
            <w:pPr>
              <w:widowControl/>
              <w:spacing w:line="160" w:lineRule="atLeast"/>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910"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75" w:type="dxa"/>
            <w:gridSpan w:val="2"/>
            <w:tcBorders>
              <w:top w:val="nil"/>
              <w:left w:val="nil"/>
              <w:bottom w:val="single" w:color="auto" w:sz="4" w:space="0"/>
              <w:right w:val="single" w:color="auto" w:sz="4" w:space="0"/>
            </w:tcBorders>
            <w:shd w:val="clear" w:color="auto" w:fill="auto"/>
            <w:vAlign w:val="center"/>
          </w:tcPr>
          <w:p>
            <w:pPr>
              <w:widowControl/>
              <w:spacing w:line="160" w:lineRule="atLeast"/>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824"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84" w:type="dxa"/>
            <w:tcBorders>
              <w:top w:val="nil"/>
              <w:left w:val="nil"/>
              <w:bottom w:val="single" w:color="auto" w:sz="4" w:space="0"/>
              <w:right w:val="single" w:color="auto" w:sz="4" w:space="0"/>
            </w:tcBorders>
            <w:shd w:val="clear" w:color="auto" w:fill="auto"/>
            <w:vAlign w:val="center"/>
          </w:tcPr>
          <w:p>
            <w:pPr>
              <w:widowControl/>
              <w:spacing w:line="160" w:lineRule="atLeast"/>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1113"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98" w:type="dxa"/>
            <w:vMerge w:val="continue"/>
            <w:tcBorders>
              <w:top w:val="nil"/>
              <w:left w:val="single" w:color="auto" w:sz="4" w:space="0"/>
              <w:bottom w:val="single" w:color="auto"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44" w:hRule="atLeast"/>
        </w:trPr>
        <w:tc>
          <w:tcPr>
            <w:tcW w:w="141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三、目标完成情况</w:t>
            </w:r>
          </w:p>
        </w:tc>
        <w:tc>
          <w:tcPr>
            <w:tcW w:w="2991"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年度预期目标</w:t>
            </w:r>
          </w:p>
        </w:tc>
        <w:tc>
          <w:tcPr>
            <w:tcW w:w="3021"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具体完成情况</w:t>
            </w:r>
          </w:p>
        </w:tc>
        <w:tc>
          <w:tcPr>
            <w:tcW w:w="1098"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总体完成率</w:t>
            </w:r>
          </w:p>
        </w:tc>
      </w:tr>
      <w:tr>
        <w:tblPrEx>
          <w:tblLayout w:type="fixed"/>
          <w:tblCellMar>
            <w:top w:w="0" w:type="dxa"/>
            <w:left w:w="108" w:type="dxa"/>
            <w:bottom w:w="0" w:type="dxa"/>
            <w:right w:w="108" w:type="dxa"/>
          </w:tblCellMar>
        </w:tblPrEx>
        <w:trPr>
          <w:trHeight w:val="1527" w:hRule="atLeast"/>
        </w:trPr>
        <w:tc>
          <w:tcPr>
            <w:tcW w:w="1412" w:type="dxa"/>
            <w:vMerge w:val="continue"/>
            <w:tcBorders>
              <w:top w:val="nil"/>
              <w:left w:val="single" w:color="auto" w:sz="4" w:space="0"/>
              <w:bottom w:val="single" w:color="auto"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2991"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160" w:lineRule="atLeast"/>
              <w:jc w:val="center"/>
              <w:rPr>
                <w:rFonts w:hint="eastAsia" w:ascii="宋体" w:hAnsi="宋体" w:eastAsia="宋体" w:cs="宋体"/>
                <w:color w:val="000000"/>
                <w:kern w:val="0"/>
                <w:sz w:val="13"/>
                <w:szCs w:val="13"/>
              </w:rPr>
            </w:pPr>
            <w:r>
              <w:rPr>
                <w:rFonts w:hint="eastAsia" w:ascii="宋体" w:hAnsi="宋体" w:eastAsia="宋体" w:cs="宋体"/>
                <w:color w:val="000000"/>
                <w:kern w:val="0"/>
                <w:sz w:val="13"/>
                <w:szCs w:val="13"/>
              </w:rPr>
              <w:t>保证所有政府办基层医疗卫生机构实施国家基本药物制度，推进综合改革顺利进行</w:t>
            </w:r>
          </w:p>
          <w:p>
            <w:pPr>
              <w:widowControl/>
              <w:spacing w:line="160" w:lineRule="atLeast"/>
              <w:jc w:val="center"/>
              <w:rPr>
                <w:rFonts w:hint="eastAsia" w:ascii="宋体" w:hAnsi="宋体" w:eastAsia="宋体" w:cs="宋体"/>
                <w:color w:val="000000"/>
                <w:kern w:val="0"/>
                <w:sz w:val="13"/>
                <w:szCs w:val="13"/>
              </w:rPr>
            </w:pPr>
            <w:r>
              <w:rPr>
                <w:rFonts w:hint="eastAsia" w:ascii="宋体" w:hAnsi="宋体" w:eastAsia="宋体" w:cs="宋体"/>
                <w:color w:val="000000"/>
                <w:kern w:val="0"/>
                <w:sz w:val="13"/>
                <w:szCs w:val="13"/>
              </w:rPr>
              <w:t>对实施国家基本药物制度的村卫生室给予补助，支付国家基本药物制度在村卫生室顺利实施　</w:t>
            </w:r>
          </w:p>
        </w:tc>
        <w:tc>
          <w:tcPr>
            <w:tcW w:w="3021"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160" w:lineRule="atLeast"/>
              <w:jc w:val="center"/>
              <w:rPr>
                <w:rFonts w:hint="eastAsia" w:ascii="宋体" w:hAnsi="宋体" w:eastAsia="宋体" w:cs="宋体"/>
                <w:color w:val="000000"/>
                <w:kern w:val="0"/>
                <w:sz w:val="13"/>
                <w:szCs w:val="13"/>
              </w:rPr>
            </w:pPr>
            <w:r>
              <w:rPr>
                <w:rFonts w:hint="eastAsia" w:ascii="宋体" w:hAnsi="宋体" w:eastAsia="宋体" w:cs="宋体"/>
                <w:color w:val="000000"/>
                <w:kern w:val="0"/>
                <w:sz w:val="13"/>
                <w:szCs w:val="13"/>
              </w:rPr>
              <w:t>保证所有政府办基层医疗卫生机构实施国家基本药物制度，推进综合改革顺利进行，已完成。对实施国家基本药物制度的村卫生室给予补助，支付国家基本药物制度在村卫生室顺利实施，已完成。　</w:t>
            </w:r>
          </w:p>
        </w:tc>
        <w:tc>
          <w:tcPr>
            <w:tcW w:w="1098"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3"/>
                <w:szCs w:val="13"/>
              </w:rPr>
            </w:pPr>
            <w:r>
              <w:rPr>
                <w:rFonts w:hint="eastAsia" w:ascii="宋体" w:hAnsi="宋体" w:eastAsia="宋体" w:cs="宋体"/>
                <w:color w:val="000000"/>
                <w:kern w:val="0"/>
                <w:sz w:val="13"/>
                <w:szCs w:val="13"/>
              </w:rPr>
              <w:t>　100%</w:t>
            </w:r>
          </w:p>
        </w:tc>
      </w:tr>
      <w:tr>
        <w:tblPrEx>
          <w:tblLayout w:type="fixed"/>
          <w:tblCellMar>
            <w:top w:w="0" w:type="dxa"/>
            <w:left w:w="108" w:type="dxa"/>
            <w:bottom w:w="0" w:type="dxa"/>
            <w:right w:w="108" w:type="dxa"/>
          </w:tblCellMar>
        </w:tblPrEx>
        <w:trPr>
          <w:trHeight w:val="417" w:hRule="atLeast"/>
        </w:trPr>
        <w:tc>
          <w:tcPr>
            <w:tcW w:w="1412"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四、年度绩效指标完成情况</w:t>
            </w:r>
          </w:p>
        </w:tc>
        <w:tc>
          <w:tcPr>
            <w:tcW w:w="1006" w:type="dxa"/>
            <w:tcBorders>
              <w:top w:val="nil"/>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一级指标</w:t>
            </w:r>
          </w:p>
        </w:tc>
        <w:tc>
          <w:tcPr>
            <w:tcW w:w="910" w:type="dxa"/>
            <w:tcBorders>
              <w:top w:val="nil"/>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二级指标</w:t>
            </w:r>
          </w:p>
        </w:tc>
        <w:tc>
          <w:tcPr>
            <w:tcW w:w="189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三级指标</w:t>
            </w:r>
          </w:p>
        </w:tc>
        <w:tc>
          <w:tcPr>
            <w:tcW w:w="1084" w:type="dxa"/>
            <w:tcBorders>
              <w:top w:val="nil"/>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预期指标值</w:t>
            </w:r>
          </w:p>
        </w:tc>
        <w:tc>
          <w:tcPr>
            <w:tcW w:w="1113" w:type="dxa"/>
            <w:tcBorders>
              <w:top w:val="nil"/>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实际完成值</w:t>
            </w:r>
          </w:p>
        </w:tc>
        <w:tc>
          <w:tcPr>
            <w:tcW w:w="1098" w:type="dxa"/>
            <w:tcBorders>
              <w:top w:val="nil"/>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自评得分</w:t>
            </w:r>
          </w:p>
        </w:tc>
      </w:tr>
      <w:tr>
        <w:tblPrEx>
          <w:tblLayout w:type="fixed"/>
          <w:tblCellMar>
            <w:top w:w="0" w:type="dxa"/>
            <w:left w:w="108" w:type="dxa"/>
            <w:bottom w:w="0" w:type="dxa"/>
            <w:right w:w="108" w:type="dxa"/>
          </w:tblCellMar>
        </w:tblPrEx>
        <w:trPr>
          <w:trHeight w:val="857" w:hRule="atLeast"/>
        </w:trPr>
        <w:tc>
          <w:tcPr>
            <w:tcW w:w="1412"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006"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产出指标（50分）</w:t>
            </w:r>
          </w:p>
        </w:tc>
        <w:tc>
          <w:tcPr>
            <w:tcW w:w="91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数量指标</w:t>
            </w:r>
          </w:p>
        </w:tc>
        <w:tc>
          <w:tcPr>
            <w:tcW w:w="189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rPr>
              <w:t>政府办基层医疗卫生机构实施国家基本药物制度覆盖率</w:t>
            </w:r>
          </w:p>
        </w:tc>
        <w:tc>
          <w:tcPr>
            <w:tcW w:w="1084"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100%</w:t>
            </w:r>
          </w:p>
        </w:tc>
        <w:tc>
          <w:tcPr>
            <w:tcW w:w="1113"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100%</w:t>
            </w:r>
          </w:p>
        </w:tc>
        <w:tc>
          <w:tcPr>
            <w:tcW w:w="1098" w:type="dxa"/>
            <w:vMerge w:val="restart"/>
            <w:tcBorders>
              <w:top w:val="nil"/>
              <w:left w:val="nil"/>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50</w:t>
            </w:r>
          </w:p>
        </w:tc>
      </w:tr>
      <w:tr>
        <w:tblPrEx>
          <w:tblLayout w:type="fixed"/>
          <w:tblCellMar>
            <w:top w:w="0" w:type="dxa"/>
            <w:left w:w="108" w:type="dxa"/>
            <w:bottom w:w="0" w:type="dxa"/>
            <w:right w:w="108" w:type="dxa"/>
          </w:tblCellMar>
        </w:tblPrEx>
        <w:trPr>
          <w:trHeight w:val="575" w:hRule="atLeast"/>
        </w:trPr>
        <w:tc>
          <w:tcPr>
            <w:tcW w:w="1412"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006"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89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村卫生室实施国家基本药物制度覆盖率</w:t>
            </w:r>
          </w:p>
        </w:tc>
        <w:tc>
          <w:tcPr>
            <w:tcW w:w="1084"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100%</w:t>
            </w:r>
          </w:p>
        </w:tc>
        <w:tc>
          <w:tcPr>
            <w:tcW w:w="1113"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100%　</w:t>
            </w:r>
          </w:p>
        </w:tc>
        <w:tc>
          <w:tcPr>
            <w:tcW w:w="1098" w:type="dxa"/>
            <w:vMerge w:val="continue"/>
            <w:tcBorders>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292" w:hRule="atLeast"/>
        </w:trPr>
        <w:tc>
          <w:tcPr>
            <w:tcW w:w="1412"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006"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89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84"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13"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98"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292" w:hRule="atLeast"/>
        </w:trPr>
        <w:tc>
          <w:tcPr>
            <w:tcW w:w="1412"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006"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效益指标（30分）</w:t>
            </w:r>
          </w:p>
        </w:tc>
        <w:tc>
          <w:tcPr>
            <w:tcW w:w="91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经济效益指标</w:t>
            </w:r>
          </w:p>
        </w:tc>
        <w:tc>
          <w:tcPr>
            <w:tcW w:w="189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乡村医生收入</w:t>
            </w:r>
          </w:p>
        </w:tc>
        <w:tc>
          <w:tcPr>
            <w:tcW w:w="1084"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保持稳定</w:t>
            </w:r>
          </w:p>
        </w:tc>
        <w:tc>
          <w:tcPr>
            <w:tcW w:w="1113"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保持稳定　</w:t>
            </w:r>
          </w:p>
        </w:tc>
        <w:tc>
          <w:tcPr>
            <w:tcW w:w="1098"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30</w:t>
            </w:r>
          </w:p>
        </w:tc>
      </w:tr>
      <w:tr>
        <w:tblPrEx>
          <w:tblLayout w:type="fixed"/>
          <w:tblCellMar>
            <w:top w:w="0" w:type="dxa"/>
            <w:left w:w="108" w:type="dxa"/>
            <w:bottom w:w="0" w:type="dxa"/>
            <w:right w:w="108" w:type="dxa"/>
          </w:tblCellMar>
        </w:tblPrEx>
        <w:trPr>
          <w:trHeight w:val="292" w:hRule="atLeast"/>
        </w:trPr>
        <w:tc>
          <w:tcPr>
            <w:tcW w:w="1412"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006"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89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84"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13"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98"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666" w:hRule="atLeast"/>
        </w:trPr>
        <w:tc>
          <w:tcPr>
            <w:tcW w:w="1412"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006"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910" w:type="dxa"/>
            <w:tcBorders>
              <w:top w:val="nil"/>
              <w:left w:val="single" w:color="auto" w:sz="4" w:space="0"/>
              <w:bottom w:val="single" w:color="000000" w:sz="4" w:space="0"/>
              <w:right w:val="single" w:color="auto" w:sz="4" w:space="0"/>
            </w:tcBorders>
            <w:shd w:val="clear" w:color="auto" w:fill="auto"/>
            <w:vAlign w:val="center"/>
          </w:tcPr>
          <w:p>
            <w:pPr>
              <w:widowControl/>
              <w:spacing w:line="160" w:lineRule="atLeas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可持续影响指标</w:t>
            </w:r>
          </w:p>
        </w:tc>
        <w:tc>
          <w:tcPr>
            <w:tcW w:w="189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国家基本药物制度在基层持续实施</w:t>
            </w:r>
          </w:p>
        </w:tc>
        <w:tc>
          <w:tcPr>
            <w:tcW w:w="1084"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中长期</w:t>
            </w:r>
          </w:p>
        </w:tc>
        <w:tc>
          <w:tcPr>
            <w:tcW w:w="1113"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中长期　</w:t>
            </w:r>
          </w:p>
        </w:tc>
        <w:tc>
          <w:tcPr>
            <w:tcW w:w="1098"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292" w:hRule="atLeast"/>
        </w:trPr>
        <w:tc>
          <w:tcPr>
            <w:tcW w:w="1412"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006"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满意度指标（10分）</w:t>
            </w:r>
          </w:p>
        </w:tc>
        <w:tc>
          <w:tcPr>
            <w:tcW w:w="91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满意度指标</w:t>
            </w:r>
          </w:p>
        </w:tc>
        <w:tc>
          <w:tcPr>
            <w:tcW w:w="189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服务人群满意度</w:t>
            </w:r>
          </w:p>
        </w:tc>
        <w:tc>
          <w:tcPr>
            <w:tcW w:w="1084"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非常满意</w:t>
            </w:r>
          </w:p>
        </w:tc>
        <w:tc>
          <w:tcPr>
            <w:tcW w:w="1113"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非常满意　</w:t>
            </w:r>
          </w:p>
        </w:tc>
        <w:tc>
          <w:tcPr>
            <w:tcW w:w="1098"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10</w:t>
            </w:r>
          </w:p>
        </w:tc>
      </w:tr>
      <w:tr>
        <w:tblPrEx>
          <w:tblLayout w:type="fixed"/>
          <w:tblCellMar>
            <w:top w:w="0" w:type="dxa"/>
            <w:left w:w="108" w:type="dxa"/>
            <w:bottom w:w="0" w:type="dxa"/>
            <w:right w:w="108" w:type="dxa"/>
          </w:tblCellMar>
        </w:tblPrEx>
        <w:trPr>
          <w:trHeight w:val="90" w:hRule="atLeast"/>
        </w:trPr>
        <w:tc>
          <w:tcPr>
            <w:tcW w:w="1412"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006"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center"/>
              <w:rPr>
                <w:rFonts w:hint="eastAsia" w:ascii="宋体" w:hAnsi="宋体" w:eastAsia="宋体" w:cs="宋体"/>
                <w:color w:val="000000"/>
                <w:kern w:val="0"/>
                <w:sz w:val="18"/>
                <w:szCs w:val="18"/>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89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84"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13"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98"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575" w:hRule="atLeast"/>
        </w:trPr>
        <w:tc>
          <w:tcPr>
            <w:tcW w:w="1412"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006" w:type="dxa"/>
            <w:tcBorders>
              <w:top w:val="nil"/>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预算执行率（10分）</w:t>
            </w:r>
          </w:p>
        </w:tc>
        <w:tc>
          <w:tcPr>
            <w:tcW w:w="910" w:type="dxa"/>
            <w:tcBorders>
              <w:top w:val="nil"/>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预算执行率</w:t>
            </w:r>
          </w:p>
        </w:tc>
        <w:tc>
          <w:tcPr>
            <w:tcW w:w="189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100%　</w:t>
            </w:r>
          </w:p>
        </w:tc>
        <w:tc>
          <w:tcPr>
            <w:tcW w:w="1084"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100%</w:t>
            </w:r>
          </w:p>
        </w:tc>
        <w:tc>
          <w:tcPr>
            <w:tcW w:w="1113"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83%</w:t>
            </w:r>
          </w:p>
        </w:tc>
        <w:tc>
          <w:tcPr>
            <w:tcW w:w="1098"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8.3</w:t>
            </w:r>
          </w:p>
        </w:tc>
      </w:tr>
      <w:tr>
        <w:tblPrEx>
          <w:tblLayout w:type="fixed"/>
          <w:tblCellMar>
            <w:top w:w="0" w:type="dxa"/>
            <w:left w:w="108" w:type="dxa"/>
            <w:bottom w:w="0" w:type="dxa"/>
            <w:right w:w="108" w:type="dxa"/>
          </w:tblCellMar>
        </w:tblPrEx>
        <w:trPr>
          <w:trHeight w:val="292" w:hRule="atLeast"/>
        </w:trPr>
        <w:tc>
          <w:tcPr>
            <w:tcW w:w="1412"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6012"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1098"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98.3</w:t>
            </w:r>
          </w:p>
        </w:tc>
      </w:tr>
      <w:tr>
        <w:tblPrEx>
          <w:tblLayout w:type="fixed"/>
          <w:tblCellMar>
            <w:top w:w="0" w:type="dxa"/>
            <w:left w:w="108" w:type="dxa"/>
            <w:bottom w:w="0" w:type="dxa"/>
            <w:right w:w="108" w:type="dxa"/>
          </w:tblCellMar>
        </w:tblPrEx>
        <w:trPr>
          <w:trHeight w:val="857" w:hRule="atLeast"/>
        </w:trPr>
        <w:tc>
          <w:tcPr>
            <w:tcW w:w="1412" w:type="dxa"/>
            <w:tcBorders>
              <w:top w:val="nil"/>
              <w:left w:val="single" w:color="auto" w:sz="4" w:space="0"/>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五、存在问题、原因及下一步整改措施</w:t>
            </w:r>
          </w:p>
        </w:tc>
        <w:tc>
          <w:tcPr>
            <w:tcW w:w="7110" w:type="dxa"/>
            <w:gridSpan w:val="8"/>
            <w:tcBorders>
              <w:top w:val="single" w:color="auto" w:sz="4" w:space="0"/>
              <w:left w:val="nil"/>
              <w:bottom w:val="single" w:color="auto" w:sz="4" w:space="0"/>
              <w:right w:val="single" w:color="000000"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p>
        </w:tc>
      </w:tr>
    </w:tbl>
    <w:p>
      <w:pPr>
        <w:keepNext/>
        <w:keepLines/>
        <w:snapToGrid w:val="0"/>
        <w:spacing w:line="580" w:lineRule="exact"/>
        <w:ind w:firstLine="640" w:firstLineChars="200"/>
        <w:outlineLvl w:val="1"/>
        <w:rPr>
          <w:rFonts w:hint="eastAsia" w:ascii="宋体" w:hAnsi="宋体" w:eastAsia="宋体" w:cs="宋体"/>
          <w:sz w:val="32"/>
          <w:szCs w:val="32"/>
        </w:rPr>
      </w:pPr>
      <w:r>
        <w:rPr>
          <w:rFonts w:hint="eastAsia" w:ascii="宋体" w:hAnsi="宋体" w:eastAsia="宋体" w:cs="宋体"/>
          <w:sz w:val="32"/>
          <w:szCs w:val="32"/>
        </w:rPr>
        <w:t>七、其他重要事项的说明</w:t>
      </w:r>
    </w:p>
    <w:p>
      <w:pPr>
        <w:keepNext/>
        <w:keepLines/>
        <w:snapToGrid w:val="0"/>
        <w:spacing w:line="580" w:lineRule="exact"/>
        <w:ind w:firstLine="643" w:firstLineChars="200"/>
        <w:outlineLvl w:val="2"/>
        <w:rPr>
          <w:rFonts w:hint="eastAsia" w:ascii="宋体" w:hAnsi="宋体" w:eastAsia="宋体" w:cs="宋体"/>
          <w:b/>
          <w:bCs/>
          <w:sz w:val="32"/>
          <w:szCs w:val="32"/>
        </w:rPr>
      </w:pPr>
      <w:r>
        <w:rPr>
          <w:rFonts w:hint="eastAsia" w:ascii="宋体" w:hAnsi="宋体" w:eastAsia="宋体" w:cs="宋体"/>
          <w:b/>
          <w:bCs/>
          <w:sz w:val="32"/>
          <w:szCs w:val="32"/>
        </w:rPr>
        <w:t>（一）机关运行经费情况</w:t>
      </w:r>
    </w:p>
    <w:p>
      <w:pPr>
        <w:adjustRightInd w:val="0"/>
        <w:snapToGrid w:val="0"/>
        <w:spacing w:after="0" w:line="580" w:lineRule="exact"/>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rPr>
        <w:t>本部门2019年度机关运行经费支出0万元，与2018年度持平。本部门2019年度机关运行经费支出0万元，</w:t>
      </w:r>
      <w:r>
        <w:rPr>
          <w:rFonts w:hint="eastAsia" w:ascii="宋体" w:hAnsi="宋体" w:eastAsia="宋体" w:cs="宋体"/>
          <w:sz w:val="32"/>
          <w:szCs w:val="32"/>
          <w:lang w:eastAsia="zh-CN"/>
        </w:rPr>
        <w:t>与年初预算持平，</w:t>
      </w:r>
      <w:r>
        <w:rPr>
          <w:rFonts w:hint="eastAsia" w:ascii="宋体" w:hAnsi="宋体" w:eastAsia="宋体" w:cs="宋体"/>
          <w:sz w:val="32"/>
          <w:szCs w:val="32"/>
        </w:rPr>
        <w:t>与2018年度持平。主要原因是</w:t>
      </w:r>
      <w:r>
        <w:rPr>
          <w:rFonts w:hint="eastAsia" w:ascii="宋体" w:hAnsi="宋体" w:eastAsia="宋体" w:cs="宋体"/>
          <w:sz w:val="32"/>
          <w:szCs w:val="32"/>
          <w:lang w:eastAsia="zh-CN"/>
        </w:rPr>
        <w:t>机关运行经费填列行政单位和参照公务员法管理的事业单位使用一般公共预算财政拨款安排的基本支出中的日常公用经费支出，本单位性质为财政补助事业单位，所以机关运行经费支出为</w:t>
      </w:r>
      <w:r>
        <w:rPr>
          <w:rFonts w:hint="eastAsia" w:ascii="宋体" w:hAnsi="宋体" w:eastAsia="宋体" w:cs="宋体"/>
          <w:sz w:val="32"/>
          <w:szCs w:val="32"/>
          <w:lang w:val="en-US" w:eastAsia="zh-CN"/>
        </w:rPr>
        <w:t>0万元。</w:t>
      </w:r>
    </w:p>
    <w:p>
      <w:pPr>
        <w:keepNext/>
        <w:keepLines/>
        <w:snapToGrid w:val="0"/>
        <w:spacing w:line="580" w:lineRule="exact"/>
        <w:ind w:firstLine="643" w:firstLineChars="200"/>
        <w:outlineLvl w:val="2"/>
        <w:rPr>
          <w:rFonts w:hint="eastAsia" w:ascii="宋体" w:hAnsi="宋体" w:eastAsia="宋体" w:cs="宋体"/>
          <w:b/>
          <w:bCs/>
          <w:sz w:val="32"/>
          <w:szCs w:val="32"/>
        </w:rPr>
      </w:pPr>
      <w:r>
        <w:rPr>
          <w:rFonts w:hint="eastAsia" w:ascii="宋体" w:hAnsi="宋体" w:eastAsia="宋体" w:cs="宋体"/>
          <w:b/>
          <w:bCs/>
          <w:sz w:val="32"/>
          <w:szCs w:val="32"/>
        </w:rPr>
        <w:t>（二）政府采购情况</w:t>
      </w:r>
    </w:p>
    <w:p>
      <w:pPr>
        <w:snapToGrid w:val="0"/>
        <w:spacing w:line="580" w:lineRule="exact"/>
        <w:ind w:firstLine="640" w:firstLineChars="200"/>
        <w:jc w:val="left"/>
        <w:rPr>
          <w:rFonts w:hint="eastAsia" w:ascii="宋体" w:hAnsi="宋体" w:eastAsia="宋体" w:cs="宋体"/>
          <w:sz w:val="32"/>
          <w:szCs w:val="32"/>
          <w:lang w:eastAsia="zh-CN"/>
        </w:rPr>
      </w:pPr>
      <w:r>
        <w:rPr>
          <w:rFonts w:hint="eastAsia" w:ascii="宋体" w:hAnsi="宋体" w:eastAsia="宋体" w:cs="宋体"/>
          <w:sz w:val="32"/>
          <w:szCs w:val="32"/>
        </w:rPr>
        <w:t>本部门2019年度政府采购支出总额0万元，从采购类型来看，</w:t>
      </w:r>
      <w:r>
        <w:rPr>
          <w:rFonts w:hint="eastAsia" w:ascii="宋体" w:hAnsi="宋体" w:eastAsia="宋体" w:cs="宋体"/>
          <w:color w:val="000000"/>
          <w:kern w:val="0"/>
          <w:sz w:val="32"/>
          <w:szCs w:val="32"/>
        </w:rPr>
        <w:t>政府采购货物支出0 万元、政府采购工程支出0万元、政府采购服务支出0万元。授予中小企业合同金0万元，占政府采购支出总额的0%，其中授予小微企业合同金额0万元，占政府采购支出总额的 0%。</w:t>
      </w:r>
      <w:r>
        <w:rPr>
          <w:rFonts w:hint="eastAsia" w:ascii="宋体" w:hAnsi="宋体" w:eastAsia="宋体" w:cs="宋体"/>
          <w:color w:val="000000"/>
          <w:kern w:val="0"/>
          <w:sz w:val="32"/>
          <w:szCs w:val="32"/>
          <w:lang w:eastAsia="zh-CN"/>
        </w:rPr>
        <w:t>与上年决算持平。</w:t>
      </w:r>
    </w:p>
    <w:p>
      <w:pPr>
        <w:keepNext/>
        <w:keepLines/>
        <w:snapToGrid w:val="0"/>
        <w:spacing w:line="580" w:lineRule="exact"/>
        <w:ind w:firstLine="643" w:firstLineChars="200"/>
        <w:outlineLvl w:val="2"/>
        <w:rPr>
          <w:rFonts w:hint="eastAsia" w:ascii="宋体" w:hAnsi="宋体" w:eastAsia="宋体" w:cs="宋体"/>
          <w:b/>
          <w:bCs/>
          <w:sz w:val="32"/>
          <w:szCs w:val="32"/>
        </w:rPr>
      </w:pPr>
      <w:r>
        <w:rPr>
          <w:rFonts w:hint="eastAsia" w:ascii="宋体" w:hAnsi="宋体" w:eastAsia="宋体" w:cs="宋体"/>
          <w:b/>
          <w:bCs/>
          <w:sz w:val="32"/>
          <w:szCs w:val="32"/>
        </w:rPr>
        <w:t>（三）国有资产占用情况</w:t>
      </w:r>
    </w:p>
    <w:p>
      <w:pPr>
        <w:adjustRightInd w:val="0"/>
        <w:snapToGrid w:val="0"/>
        <w:spacing w:line="580" w:lineRule="exact"/>
        <w:ind w:firstLine="640" w:firstLineChars="200"/>
        <w:rPr>
          <w:rFonts w:hint="eastAsia" w:ascii="宋体" w:hAnsi="宋体" w:eastAsia="宋体" w:cs="宋体"/>
          <w:sz w:val="32"/>
          <w:szCs w:val="32"/>
          <w:lang w:eastAsia="zh-CN"/>
        </w:rPr>
      </w:pPr>
      <w:r>
        <w:rPr>
          <w:rFonts w:hint="eastAsia" w:ascii="宋体" w:hAnsi="宋体" w:eastAsia="宋体" w:cs="宋体"/>
          <w:sz w:val="32"/>
          <w:szCs w:val="32"/>
        </w:rPr>
        <w:t>截至201</w:t>
      </w:r>
      <w:r>
        <w:rPr>
          <w:rFonts w:hint="eastAsia" w:ascii="宋体" w:hAnsi="宋体" w:eastAsia="宋体" w:cs="宋体"/>
          <w:sz w:val="32"/>
          <w:szCs w:val="32"/>
          <w:lang w:val="en-US" w:eastAsia="zh-CN"/>
        </w:rPr>
        <w:t>9</w:t>
      </w:r>
      <w:r>
        <w:rPr>
          <w:rFonts w:hint="eastAsia" w:ascii="宋体" w:hAnsi="宋体" w:eastAsia="宋体" w:cs="宋体"/>
          <w:sz w:val="32"/>
          <w:szCs w:val="32"/>
        </w:rPr>
        <w:t>年12月31日，本部门共有车辆</w:t>
      </w:r>
      <w:r>
        <w:rPr>
          <w:rFonts w:hint="eastAsia" w:ascii="宋体" w:hAnsi="宋体" w:eastAsia="宋体" w:cs="宋体"/>
          <w:sz w:val="32"/>
          <w:szCs w:val="32"/>
          <w:lang w:val="en-US" w:eastAsia="zh-CN"/>
        </w:rPr>
        <w:t>0</w:t>
      </w:r>
      <w:r>
        <w:rPr>
          <w:rFonts w:hint="eastAsia" w:ascii="宋体" w:hAnsi="宋体" w:eastAsia="宋体" w:cs="宋体"/>
          <w:sz w:val="32"/>
          <w:szCs w:val="32"/>
        </w:rPr>
        <w:t>辆，比上年增加</w:t>
      </w:r>
      <w:r>
        <w:rPr>
          <w:rFonts w:hint="eastAsia" w:ascii="宋体" w:hAnsi="宋体" w:eastAsia="宋体" w:cs="宋体"/>
          <w:sz w:val="32"/>
          <w:szCs w:val="32"/>
          <w:lang w:val="en-US" w:eastAsia="zh-CN"/>
        </w:rPr>
        <w:t>0</w:t>
      </w:r>
      <w:r>
        <w:rPr>
          <w:rFonts w:hint="eastAsia" w:ascii="宋体" w:hAnsi="宋体" w:eastAsia="宋体" w:cs="宋体"/>
          <w:sz w:val="32"/>
          <w:szCs w:val="32"/>
        </w:rPr>
        <w:t>辆。其中，副部（省）级及以上领导用车</w:t>
      </w:r>
      <w:r>
        <w:rPr>
          <w:rFonts w:hint="eastAsia" w:ascii="宋体" w:hAnsi="宋体" w:eastAsia="宋体" w:cs="宋体"/>
          <w:sz w:val="32"/>
          <w:szCs w:val="32"/>
          <w:lang w:val="en-US" w:eastAsia="zh-CN"/>
        </w:rPr>
        <w:t>0</w:t>
      </w:r>
      <w:r>
        <w:rPr>
          <w:rFonts w:hint="eastAsia" w:ascii="宋体" w:hAnsi="宋体" w:eastAsia="宋体" w:cs="宋体"/>
          <w:sz w:val="32"/>
          <w:szCs w:val="32"/>
        </w:rPr>
        <w:t>辆，主要领导干部用车</w:t>
      </w:r>
      <w:r>
        <w:rPr>
          <w:rFonts w:hint="eastAsia" w:ascii="宋体" w:hAnsi="宋体" w:eastAsia="宋体" w:cs="宋体"/>
          <w:sz w:val="32"/>
          <w:szCs w:val="32"/>
          <w:lang w:val="en-US" w:eastAsia="zh-CN"/>
        </w:rPr>
        <w:t>0</w:t>
      </w:r>
      <w:r>
        <w:rPr>
          <w:rFonts w:hint="eastAsia" w:ascii="宋体" w:hAnsi="宋体" w:eastAsia="宋体" w:cs="宋体"/>
          <w:sz w:val="32"/>
          <w:szCs w:val="32"/>
        </w:rPr>
        <w:t>辆，机要通信用车</w:t>
      </w:r>
      <w:r>
        <w:rPr>
          <w:rFonts w:hint="eastAsia" w:ascii="宋体" w:hAnsi="宋体" w:eastAsia="宋体" w:cs="宋体"/>
          <w:sz w:val="32"/>
          <w:szCs w:val="32"/>
          <w:lang w:val="en-US" w:eastAsia="zh-CN"/>
        </w:rPr>
        <w:t>0</w:t>
      </w:r>
      <w:r>
        <w:rPr>
          <w:rFonts w:hint="eastAsia" w:ascii="宋体" w:hAnsi="宋体" w:eastAsia="宋体" w:cs="宋体"/>
          <w:sz w:val="32"/>
          <w:szCs w:val="32"/>
        </w:rPr>
        <w:t>辆，应急保障用车</w:t>
      </w:r>
      <w:r>
        <w:rPr>
          <w:rFonts w:hint="eastAsia" w:ascii="宋体" w:hAnsi="宋体" w:eastAsia="宋体" w:cs="宋体"/>
          <w:sz w:val="32"/>
          <w:szCs w:val="32"/>
          <w:lang w:val="en-US" w:eastAsia="zh-CN"/>
        </w:rPr>
        <w:t>0</w:t>
      </w:r>
      <w:r>
        <w:rPr>
          <w:rFonts w:hint="eastAsia" w:ascii="宋体" w:hAnsi="宋体" w:eastAsia="宋体" w:cs="宋体"/>
          <w:sz w:val="32"/>
          <w:szCs w:val="32"/>
        </w:rPr>
        <w:t>辆，执法执勤用车</w:t>
      </w:r>
      <w:r>
        <w:rPr>
          <w:rFonts w:hint="eastAsia" w:ascii="宋体" w:hAnsi="宋体" w:eastAsia="宋体" w:cs="宋体"/>
          <w:sz w:val="32"/>
          <w:szCs w:val="32"/>
          <w:lang w:val="en-US" w:eastAsia="zh-CN"/>
        </w:rPr>
        <w:t>0</w:t>
      </w:r>
      <w:r>
        <w:rPr>
          <w:rFonts w:hint="eastAsia" w:ascii="宋体" w:hAnsi="宋体" w:eastAsia="宋体" w:cs="宋体"/>
          <w:sz w:val="32"/>
          <w:szCs w:val="32"/>
        </w:rPr>
        <w:t>辆，特种专业技术用车</w:t>
      </w:r>
      <w:r>
        <w:rPr>
          <w:rFonts w:hint="eastAsia" w:ascii="宋体" w:hAnsi="宋体" w:eastAsia="宋体" w:cs="宋体"/>
          <w:sz w:val="32"/>
          <w:szCs w:val="32"/>
          <w:lang w:val="en-US" w:eastAsia="zh-CN"/>
        </w:rPr>
        <w:t>0</w:t>
      </w:r>
      <w:r>
        <w:rPr>
          <w:rFonts w:hint="eastAsia" w:ascii="宋体" w:hAnsi="宋体" w:eastAsia="宋体" w:cs="宋体"/>
          <w:sz w:val="32"/>
          <w:szCs w:val="32"/>
        </w:rPr>
        <w:t>辆，离退休干部用车</w:t>
      </w:r>
      <w:r>
        <w:rPr>
          <w:rFonts w:hint="eastAsia" w:ascii="宋体" w:hAnsi="宋体" w:eastAsia="宋体" w:cs="宋体"/>
          <w:sz w:val="32"/>
          <w:szCs w:val="32"/>
          <w:lang w:val="en-US" w:eastAsia="zh-CN"/>
        </w:rPr>
        <w:t>0</w:t>
      </w:r>
      <w:r>
        <w:rPr>
          <w:rFonts w:hint="eastAsia" w:ascii="宋体" w:hAnsi="宋体" w:eastAsia="宋体" w:cs="宋体"/>
          <w:sz w:val="32"/>
          <w:szCs w:val="32"/>
        </w:rPr>
        <w:t>辆，其他用车</w:t>
      </w:r>
      <w:r>
        <w:rPr>
          <w:rFonts w:hint="eastAsia" w:ascii="宋体" w:hAnsi="宋体" w:eastAsia="宋体" w:cs="宋体"/>
          <w:sz w:val="32"/>
          <w:szCs w:val="32"/>
          <w:lang w:val="en-US" w:eastAsia="zh-CN"/>
        </w:rPr>
        <w:t>0</w:t>
      </w:r>
      <w:r>
        <w:rPr>
          <w:rFonts w:hint="eastAsia" w:ascii="宋体" w:hAnsi="宋体" w:eastAsia="宋体" w:cs="宋体"/>
          <w:sz w:val="32"/>
          <w:szCs w:val="32"/>
        </w:rPr>
        <w:t>辆</w:t>
      </w:r>
      <w:r>
        <w:rPr>
          <w:rFonts w:hint="eastAsia" w:ascii="宋体" w:hAnsi="宋体" w:eastAsia="宋体" w:cs="宋体"/>
          <w:sz w:val="32"/>
          <w:szCs w:val="32"/>
          <w:lang w:eastAsia="zh-CN"/>
        </w:rPr>
        <w:t>。与上年决算相比持平。</w:t>
      </w:r>
    </w:p>
    <w:p>
      <w:pPr>
        <w:adjustRightInd w:val="0"/>
        <w:snapToGrid w:val="0"/>
        <w:spacing w:line="580" w:lineRule="exact"/>
        <w:ind w:firstLine="640" w:firstLineChars="200"/>
        <w:rPr>
          <w:rFonts w:hint="eastAsia" w:ascii="宋体" w:hAnsi="宋体" w:eastAsia="宋体" w:cs="宋体"/>
          <w:b/>
          <w:bCs/>
          <w:sz w:val="32"/>
          <w:szCs w:val="32"/>
        </w:rPr>
      </w:pPr>
      <w:r>
        <w:rPr>
          <w:rFonts w:hint="eastAsia" w:ascii="宋体" w:hAnsi="宋体" w:eastAsia="宋体" w:cs="宋体"/>
          <w:sz w:val="32"/>
          <w:szCs w:val="32"/>
        </w:rPr>
        <w:t>单位价值50万元以上通用设备0台（套），与上年持平，单位价值100万元以上专用设备0台（套）,与上年持平。</w:t>
      </w:r>
    </w:p>
    <w:p>
      <w:pPr>
        <w:keepNext/>
        <w:keepLines/>
        <w:snapToGrid w:val="0"/>
        <w:spacing w:line="580" w:lineRule="exact"/>
        <w:ind w:firstLine="643" w:firstLineChars="200"/>
        <w:outlineLvl w:val="2"/>
        <w:rPr>
          <w:rFonts w:hint="eastAsia" w:ascii="宋体" w:hAnsi="宋体" w:eastAsia="宋体" w:cs="宋体"/>
          <w:b/>
          <w:bCs/>
          <w:sz w:val="32"/>
          <w:szCs w:val="32"/>
        </w:rPr>
      </w:pPr>
      <w:r>
        <w:rPr>
          <w:rFonts w:hint="eastAsia" w:ascii="宋体" w:hAnsi="宋体" w:eastAsia="宋体" w:cs="宋体"/>
          <w:b/>
          <w:bCs/>
          <w:sz w:val="32"/>
          <w:szCs w:val="32"/>
        </w:rPr>
        <w:t>（四）其他需要说明的情况</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 本部门本年度无“三公”经费支出预决算情况，故一般公共预算财政拨款“三公”经费支出决算表以空表列示；本年度无政府性基金预算财政拨款收入、支出及结转和结余情况，故政府性基金预算财政拨款收入支出决算表以空表列示；本年度无国有资本经营预算财政拨款支出情况，故国有资本经营预算财政拨款支出决算表以空表列示。</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hint="eastAsia" w:ascii="宋体" w:hAnsi="宋体" w:eastAsia="宋体" w:cs="宋体"/>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widowControl/>
        <w:spacing w:line="580" w:lineRule="exact"/>
        <w:ind w:firstLine="883" w:firstLineChars="200"/>
        <w:jc w:val="left"/>
        <w:rPr>
          <w:rFonts w:hint="eastAsia" w:ascii="宋体" w:hAnsi="宋体" w:eastAsia="宋体" w:cs="宋体"/>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rPr>
          <w:rFonts w:hint="eastAsia" w:ascii="宋体" w:hAnsi="宋体" w:eastAsia="宋体" w:cs="宋体"/>
          <w:sz w:val="56"/>
          <w:szCs w:val="72"/>
        </w:rPr>
        <w:sectPr>
          <w:headerReference r:id="rId21" w:type="first"/>
          <w:footerReference r:id="rId23" w:type="first"/>
          <w:headerReference r:id="rId20" w:type="default"/>
          <w:footerReference r:id="rId22" w:type="default"/>
          <w:type w:val="continuous"/>
          <w:pgSz w:w="11906" w:h="16838"/>
          <w:pgMar w:top="2041" w:right="1531" w:bottom="2041" w:left="1531" w:header="851" w:footer="992" w:gutter="0"/>
          <w:pgNumType w:fmt="numberInDash"/>
          <w:cols w:space="0" w:num="1"/>
          <w:titlePg/>
          <w:docGrid w:type="lines" w:linePitch="312" w:charSpace="0"/>
        </w:sectPr>
      </w:pPr>
    </w:p>
    <w:p>
      <w:pP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72"/>
        </w:rPr>
      </w:pPr>
      <w:r>
        <w:rPr>
          <w:rFonts w:hint="eastAsia" w:ascii="宋体" w:hAnsi="宋体" w:eastAsia="宋体" w:cs="宋体"/>
          <w:sz w:val="72"/>
        </w:rPr>
        <w:pict>
          <v:shape id="_x0000_s1029" o:spid="_x0000_s1029" o:spt="202" type="#_x0000_t202" style="position:absolute;left:0pt;margin-left:-80.45pt;margin-top:34.8pt;height:263.1pt;width:613.65pt;z-index:251664384;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path/>
            <v:fill type="pattern" on="t" color2="#FFFFFF" o:title="image1" focussize="0,0" r:id="rId30"/>
            <v:stroke weight="0.5pt" color="#FFD966" joinstyle="round"/>
            <v:imagedata o:title=""/>
            <o:lock v:ext="edit"/>
            <v:textbox>
              <w:txbxContent>
                <w:p>
                  <w:pPr>
                    <w:widowControl/>
                    <w:jc w:val="center"/>
                  </w:pPr>
                  <w:r>
                    <w:rPr>
                      <w:rFonts w:hint="eastAsia" w:ascii="黑体" w:hAnsi="黑体" w:eastAsia="黑体" w:cs="黑体"/>
                      <w:color w:val="000000" w:themeColor="text1"/>
                      <w:sz w:val="90"/>
                      <w:szCs w:val="90"/>
                    </w:rPr>
                    <w:t>第三部分 相关名词解释</w:t>
                  </w:r>
                </w:p>
              </w:txbxContent>
            </v:textbox>
          </v:shape>
        </w:pic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tabs>
          <w:tab w:val="left" w:pos="886"/>
        </w:tabs>
        <w:jc w:val="left"/>
        <w:rPr>
          <w:rFonts w:hint="eastAsia" w:ascii="宋体" w:hAnsi="宋体" w:eastAsia="宋体" w:cs="宋体"/>
        </w:rPr>
        <w:sectPr>
          <w:headerReference r:id="rId24" w:type="first"/>
          <w:pgSz w:w="11906" w:h="16838"/>
          <w:pgMar w:top="2041" w:right="1531" w:bottom="2041" w:left="1531" w:header="851" w:footer="992" w:gutter="0"/>
          <w:pgNumType w:fmt="numberInDash"/>
          <w:cols w:space="0" w:num="1"/>
          <w:titlePg/>
          <w:docGrid w:type="lines" w:linePitch="312" w:charSpace="0"/>
        </w:sectPr>
      </w:pPr>
    </w:p>
    <w:p>
      <w:pPr>
        <w:rPr>
          <w:rFonts w:hint="eastAsia" w:ascii="宋体" w:hAnsi="宋体" w:eastAsia="宋体" w:cs="宋体"/>
          <w:sz w:val="32"/>
          <w:szCs w:val="32"/>
          <w:highlight w:val="yellow"/>
        </w:rPr>
      </w:pPr>
      <w:r>
        <w:rPr>
          <w:rFonts w:hint="eastAsia" w:ascii="宋体" w:hAnsi="宋体" w:eastAsia="宋体" w:cs="宋体"/>
          <w:sz w:val="32"/>
          <w:szCs w:val="32"/>
          <w:highlight w:val="yellow"/>
        </w:rPr>
        <w:br w:type="page"/>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（一）财政拨款收入：</w:t>
      </w:r>
      <w:r>
        <w:rPr>
          <w:rFonts w:hint="eastAsia" w:ascii="宋体" w:hAnsi="宋体" w:eastAsia="宋体" w:cs="宋体"/>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（二）事业收入：</w:t>
      </w:r>
      <w:r>
        <w:rPr>
          <w:rFonts w:hint="eastAsia" w:ascii="宋体" w:hAnsi="宋体" w:eastAsia="宋体" w:cs="宋体"/>
          <w:color w:val="000000"/>
          <w:kern w:val="0"/>
          <w:sz w:val="32"/>
          <w:szCs w:val="32"/>
        </w:rPr>
        <w:t>指事业单位开展专业业务活动及辅助活动所取得的收入。</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（三）其他收入：</w:t>
      </w:r>
      <w:r>
        <w:rPr>
          <w:rFonts w:hint="eastAsia" w:ascii="宋体" w:hAnsi="宋体" w:eastAsia="宋体" w:cs="宋体"/>
          <w:color w:val="000000"/>
          <w:kern w:val="0"/>
          <w:sz w:val="32"/>
          <w:szCs w:val="32"/>
        </w:rPr>
        <w:t>指除上述“财政拨款收入”“事业收入”“经营收入”等以外的收入。</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（四）用事业基金弥补收支差额：</w:t>
      </w:r>
      <w:r>
        <w:rPr>
          <w:rFonts w:hint="eastAsia" w:ascii="宋体" w:hAnsi="宋体" w:eastAsia="宋体" w:cs="宋体"/>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（五）年初结转和结余：</w:t>
      </w:r>
      <w:r>
        <w:rPr>
          <w:rFonts w:hint="eastAsia" w:ascii="宋体" w:hAnsi="宋体" w:eastAsia="宋体" w:cs="宋体"/>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（六）结余分配：</w:t>
      </w:r>
      <w:r>
        <w:rPr>
          <w:rFonts w:hint="eastAsia" w:ascii="宋体" w:hAnsi="宋体" w:eastAsia="宋体" w:cs="宋体"/>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（七）年末结转和结余：</w:t>
      </w:r>
      <w:r>
        <w:rPr>
          <w:rFonts w:hint="eastAsia" w:ascii="宋体" w:hAnsi="宋体" w:eastAsia="宋体" w:cs="宋体"/>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（八）基本支出：</w:t>
      </w:r>
      <w:r>
        <w:rPr>
          <w:rFonts w:hint="eastAsia" w:ascii="宋体" w:hAnsi="宋体" w:eastAsia="宋体" w:cs="宋体"/>
          <w:color w:val="000000"/>
          <w:kern w:val="0"/>
          <w:sz w:val="32"/>
          <w:szCs w:val="32"/>
        </w:rPr>
        <w:t>填列单位为保障机构正常运转、完成日常工作任务而发生的各项支出。</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（九）项目支出：</w:t>
      </w:r>
      <w:r>
        <w:rPr>
          <w:rFonts w:hint="eastAsia" w:ascii="宋体" w:hAnsi="宋体" w:eastAsia="宋体" w:cs="宋体"/>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（十）基本建设支出：</w:t>
      </w:r>
      <w:r>
        <w:rPr>
          <w:rFonts w:hint="eastAsia" w:ascii="宋体" w:hAnsi="宋体" w:eastAsia="宋体" w:cs="宋体"/>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（十一）其他资本性支出：</w:t>
      </w:r>
      <w:r>
        <w:rPr>
          <w:rFonts w:hint="eastAsia" w:ascii="宋体" w:hAnsi="宋体" w:eastAsia="宋体" w:cs="宋体"/>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（十二）“三公”经费：</w:t>
      </w:r>
      <w:r>
        <w:rPr>
          <w:rFonts w:hint="eastAsia" w:ascii="宋体" w:hAnsi="宋体" w:eastAsia="宋体" w:cs="宋体"/>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（十三）其他交通费用：</w:t>
      </w:r>
      <w:r>
        <w:rPr>
          <w:rFonts w:hint="eastAsia" w:ascii="宋体" w:hAnsi="宋体" w:eastAsia="宋体" w:cs="宋体"/>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（十四）公务用车购置：</w:t>
      </w:r>
      <w:r>
        <w:rPr>
          <w:rFonts w:hint="eastAsia" w:ascii="宋体" w:hAnsi="宋体" w:eastAsia="宋体" w:cs="宋体"/>
          <w:color w:val="000000"/>
          <w:kern w:val="0"/>
          <w:sz w:val="32"/>
          <w:szCs w:val="32"/>
        </w:rPr>
        <w:t>填列单位公务用车车辆购置支出（含车辆购置税、牌照费）。</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（十五）其他交通工具购置：</w:t>
      </w:r>
      <w:r>
        <w:rPr>
          <w:rFonts w:hint="eastAsia" w:ascii="宋体" w:hAnsi="宋体" w:eastAsia="宋体" w:cs="宋体"/>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（十六）机关运行经费：</w:t>
      </w:r>
      <w:r>
        <w:rPr>
          <w:rFonts w:hint="eastAsia" w:ascii="宋体" w:hAnsi="宋体" w:eastAsia="宋体" w:cs="宋体"/>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hint="eastAsia" w:ascii="宋体" w:hAnsi="宋体" w:eastAsia="宋体" w:cs="宋体"/>
          <w:kern w:val="0"/>
          <w:sz w:val="32"/>
          <w:szCs w:val="32"/>
        </w:rPr>
      </w:pPr>
      <w:r>
        <w:rPr>
          <w:rFonts w:hint="eastAsia" w:ascii="宋体" w:hAnsi="宋体" w:eastAsia="宋体" w:cs="宋体"/>
          <w:b/>
          <w:bCs/>
          <w:color w:val="000000"/>
          <w:kern w:val="0"/>
          <w:sz w:val="32"/>
          <w:szCs w:val="32"/>
        </w:rPr>
        <w:t>（十七）经费形式:</w:t>
      </w:r>
      <w:r>
        <w:rPr>
          <w:rFonts w:hint="eastAsia" w:ascii="宋体" w:hAnsi="宋体" w:eastAsia="宋体" w:cs="宋体"/>
          <w:color w:val="000000"/>
          <w:kern w:val="0"/>
          <w:sz w:val="32"/>
          <w:szCs w:val="32"/>
        </w:rPr>
        <w:t>按照经费来源，</w:t>
      </w:r>
      <w:r>
        <w:rPr>
          <w:rFonts w:hint="eastAsia" w:ascii="宋体" w:hAnsi="宋体" w:eastAsia="宋体" w:cs="宋体"/>
          <w:kern w:val="0"/>
          <w:sz w:val="32"/>
          <w:szCs w:val="32"/>
        </w:rPr>
        <w:t>可分为财政拨款、财政性资金基本保证、财政性资金定额或定项补助、财政性资金零补助四类。</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jc w:val="left"/>
        <w:rPr>
          <w:rFonts w:hint="eastAsia" w:ascii="宋体" w:hAnsi="宋体" w:eastAsia="宋体" w:cs="宋体"/>
        </w:rPr>
        <w:sectPr>
          <w:headerReference r:id="rId25"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rPr>
          <w:rFonts w:hint="eastAsia" w:ascii="宋体" w:hAnsi="宋体" w:eastAsia="宋体" w:cs="宋体"/>
        </w:rPr>
        <w:sectPr>
          <w:pgSz w:w="11906" w:h="16838"/>
          <w:pgMar w:top="2098" w:right="1474" w:bottom="1985" w:left="1588" w:header="851" w:footer="992" w:gutter="0"/>
          <w:pgNumType w:fmt="numberInDash"/>
          <w:cols w:space="425" w:num="1"/>
          <w:docGrid w:type="lines" w:linePitch="312" w:charSpace="0"/>
        </w:sectPr>
      </w:pPr>
      <w:r>
        <w:rPr>
          <w:rFonts w:hint="eastAsia" w:ascii="宋体" w:hAnsi="宋体" w:eastAsia="宋体" w:cs="宋体"/>
          <w:sz w:val="72"/>
        </w:rPr>
        <w:pict>
          <v:shape id="_x0000_s1028" o:spid="_x0000_s1028" o:spt="202" type="#_x0000_t202" style="position:absolute;left:0pt;margin-left:-82.05pt;margin-top:135.85pt;height:263.1pt;width:613.65pt;z-index:-251665408;v-text-anchor:middle;mso-width-relative:page;mso-height-relative:page;" fillcolor="#FFD966" filled="t" stroked="t" coordsize="21600,21600" o:gfxdata="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l6t8a3AAAAA0BAAAPAAAAAAAAAAEAIAAAACIAAABkcnMvZG93bnJldi54bWxQSwECFAAUAAAA&#10;CACHTuJAew5iW1wCAAC6BAAADgAAAAAAAAABACAAAAArAQAAZHJzL2Uyb0RvYy54bWxQSwUGAAAA&#10;AAYABgBZAQAA+QUAAAAA&#10;">
            <v:path/>
            <v:fill type="pattern" on="t" color2="#FFFFFF" o:title="image1" focussize="0,0" r:id="rId30"/>
            <v:stroke weight="0.5pt" color="#FFD96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第四部分 </w:t>
                  </w:r>
                </w:p>
                <w:p>
                  <w:pPr>
                    <w:widowControl/>
                    <w:jc w:val="center"/>
                  </w:pPr>
                  <w:r>
                    <w:rPr>
                      <w:rFonts w:hint="eastAsia" w:ascii="黑体" w:hAnsi="黑体" w:eastAsia="黑体" w:cs="黑体"/>
                      <w:color w:val="000000" w:themeColor="text1"/>
                      <w:sz w:val="90"/>
                      <w:szCs w:val="90"/>
                    </w:rPr>
                    <w:t>2019年度部门决算报表</w:t>
                  </w:r>
                </w:p>
              </w:txbxContent>
            </v:textbox>
          </v:shape>
        </w:pict>
      </w:r>
    </w:p>
    <w:p>
      <w:pPr>
        <w:tabs>
          <w:tab w:val="left" w:pos="886"/>
        </w:tabs>
        <w:jc w:val="left"/>
        <w:rPr>
          <w:rFonts w:hint="eastAsia" w:ascii="宋体" w:hAnsi="宋体" w:eastAsia="宋体" w:cs="宋体"/>
        </w:rPr>
      </w:pPr>
    </w:p>
    <w:p>
      <w:pPr>
        <w:jc w:val="left"/>
        <w:rPr>
          <w:rFonts w:hint="eastAsia" w:ascii="宋体" w:hAnsi="宋体" w:eastAsia="宋体" w:cs="宋体"/>
        </w:rPr>
      </w:pPr>
      <w:r>
        <w:rPr>
          <w:rFonts w:hint="eastAsia" w:ascii="宋体" w:hAnsi="宋体" w:eastAsia="宋体" w:cs="宋体"/>
        </w:rPr>
        <w:drawing>
          <wp:inline distT="0" distB="0" distL="0" distR="0">
            <wp:extent cx="5760720" cy="6354445"/>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31"/>
                    <a:srcRect/>
                    <a:stretch>
                      <a:fillRect/>
                    </a:stretch>
                  </pic:blipFill>
                  <pic:spPr>
                    <a:xfrm>
                      <a:off x="0" y="0"/>
                      <a:ext cx="5760720" cy="6354553"/>
                    </a:xfrm>
                    <a:prstGeom prst="rect">
                      <a:avLst/>
                    </a:prstGeom>
                    <a:noFill/>
                    <a:ln w="9525">
                      <a:noFill/>
                      <a:miter lim="800000"/>
                      <a:headEnd/>
                      <a:tailEnd/>
                    </a:ln>
                  </pic:spPr>
                </pic:pic>
              </a:graphicData>
            </a:graphic>
          </wp:inline>
        </w:drawing>
      </w:r>
    </w:p>
    <w:p>
      <w:pPr>
        <w:rPr>
          <w:rFonts w:hint="eastAsia" w:ascii="宋体" w:hAnsi="宋体" w:eastAsia="宋体" w:cs="宋体"/>
        </w:rPr>
      </w:pPr>
      <w:r>
        <w:rPr>
          <w:rFonts w:hint="eastAsia" w:ascii="宋体" w:hAnsi="宋体" w:eastAsia="宋体" w:cs="宋体"/>
        </w:rPr>
        <w:br w:type="page"/>
      </w:r>
    </w:p>
    <w:p>
      <w:pPr>
        <w:rPr>
          <w:rFonts w:hint="eastAsia" w:ascii="宋体" w:hAnsi="宋体" w:eastAsia="宋体" w:cs="宋体"/>
        </w:rPr>
      </w:pPr>
    </w:p>
    <w:p>
      <w:pPr>
        <w:jc w:val="left"/>
        <w:rPr>
          <w:rFonts w:hint="eastAsia" w:ascii="宋体" w:hAnsi="宋体" w:eastAsia="宋体" w:cs="宋体"/>
        </w:rPr>
      </w:pPr>
      <w:r>
        <w:rPr>
          <w:rFonts w:hint="eastAsia" w:ascii="宋体" w:hAnsi="宋体" w:eastAsia="宋体" w:cs="宋体"/>
        </w:rPr>
        <w:drawing>
          <wp:inline distT="0" distB="0" distL="0" distR="0">
            <wp:extent cx="5760720" cy="5083810"/>
            <wp:effectExtent l="19050" t="0" r="0" b="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noChangeArrowheads="1"/>
                    </pic:cNvPicPr>
                  </pic:nvPicPr>
                  <pic:blipFill>
                    <a:blip r:embed="rId32"/>
                    <a:srcRect/>
                    <a:stretch>
                      <a:fillRect/>
                    </a:stretch>
                  </pic:blipFill>
                  <pic:spPr>
                    <a:xfrm>
                      <a:off x="0" y="0"/>
                      <a:ext cx="5760720" cy="5084101"/>
                    </a:xfrm>
                    <a:prstGeom prst="rect">
                      <a:avLst/>
                    </a:prstGeom>
                    <a:noFill/>
                    <a:ln w="9525">
                      <a:noFill/>
                      <a:miter lim="800000"/>
                      <a:headEnd/>
                      <a:tailEnd/>
                    </a:ln>
                  </pic:spPr>
                </pic:pic>
              </a:graphicData>
            </a:graphic>
          </wp:inline>
        </w:drawing>
      </w:r>
    </w:p>
    <w:p>
      <w:pPr>
        <w:rPr>
          <w:rFonts w:hint="eastAsia" w:ascii="宋体" w:hAnsi="宋体" w:eastAsia="宋体" w:cs="宋体"/>
        </w:rPr>
      </w:pPr>
      <w:r>
        <w:rPr>
          <w:rFonts w:hint="eastAsia" w:ascii="宋体" w:hAnsi="宋体" w:eastAsia="宋体" w:cs="宋体"/>
        </w:rPr>
        <w:br w:type="page"/>
      </w:r>
    </w:p>
    <w:p>
      <w:pPr>
        <w:rPr>
          <w:rFonts w:hint="eastAsia" w:ascii="宋体" w:hAnsi="宋体" w:eastAsia="宋体" w:cs="宋体"/>
        </w:rPr>
      </w:pPr>
      <w:r>
        <w:rPr>
          <w:rFonts w:hint="eastAsia" w:ascii="宋体" w:hAnsi="宋体" w:eastAsia="宋体" w:cs="宋体"/>
        </w:rPr>
        <w:drawing>
          <wp:inline distT="0" distB="0" distL="0" distR="0">
            <wp:extent cx="5760720" cy="5353050"/>
            <wp:effectExtent l="19050" t="0" r="0" b="0"/>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noChangeArrowheads="1"/>
                    </pic:cNvPicPr>
                  </pic:nvPicPr>
                  <pic:blipFill>
                    <a:blip r:embed="rId33"/>
                    <a:srcRect/>
                    <a:stretch>
                      <a:fillRect/>
                    </a:stretch>
                  </pic:blipFill>
                  <pic:spPr>
                    <a:xfrm>
                      <a:off x="0" y="0"/>
                      <a:ext cx="5760720" cy="5353509"/>
                    </a:xfrm>
                    <a:prstGeom prst="rect">
                      <a:avLst/>
                    </a:prstGeom>
                    <a:noFill/>
                    <a:ln w="9525">
                      <a:noFill/>
                      <a:miter lim="800000"/>
                      <a:headEnd/>
                      <a:tailEnd/>
                    </a:ln>
                  </pic:spPr>
                </pic:pic>
              </a:graphicData>
            </a:graphic>
          </wp:inline>
        </w:drawing>
      </w:r>
    </w:p>
    <w:p>
      <w:pPr>
        <w:widowControl/>
        <w:jc w:val="left"/>
        <w:rPr>
          <w:rFonts w:hint="eastAsia" w:ascii="宋体" w:hAnsi="宋体" w:eastAsia="宋体" w:cs="宋体"/>
        </w:rPr>
      </w:pPr>
    </w:p>
    <w:p>
      <w:pPr>
        <w:widowControl/>
        <w:jc w:val="left"/>
        <w:rPr>
          <w:rFonts w:hint="eastAsia" w:ascii="宋体" w:hAnsi="宋体" w:eastAsia="宋体" w:cs="宋体"/>
        </w:rPr>
      </w:pPr>
      <w:r>
        <w:rPr>
          <w:rFonts w:hint="eastAsia" w:ascii="宋体" w:hAnsi="宋体" w:eastAsia="宋体" w:cs="宋体"/>
        </w:rPr>
        <w:br w:type="page"/>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drawing>
          <wp:inline distT="0" distB="0" distL="0" distR="0">
            <wp:extent cx="5760720" cy="6439535"/>
            <wp:effectExtent l="19050" t="0" r="0" b="0"/>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noChangeArrowheads="1"/>
                    </pic:cNvPicPr>
                  </pic:nvPicPr>
                  <pic:blipFill>
                    <a:blip r:embed="rId34"/>
                    <a:srcRect/>
                    <a:stretch>
                      <a:fillRect/>
                    </a:stretch>
                  </pic:blipFill>
                  <pic:spPr>
                    <a:xfrm>
                      <a:off x="0" y="0"/>
                      <a:ext cx="5760720" cy="6439535"/>
                    </a:xfrm>
                    <a:prstGeom prst="rect">
                      <a:avLst/>
                    </a:prstGeom>
                    <a:noFill/>
                    <a:ln w="9525">
                      <a:noFill/>
                      <a:miter lim="800000"/>
                      <a:headEnd/>
                      <a:tailEnd/>
                    </a:ln>
                  </pic:spPr>
                </pic:pic>
              </a:graphicData>
            </a:graphic>
          </wp:inline>
        </w:drawing>
      </w:r>
    </w:p>
    <w:p>
      <w:pPr>
        <w:widowControl/>
        <w:jc w:val="left"/>
        <w:rPr>
          <w:rFonts w:hint="eastAsia" w:ascii="宋体" w:hAnsi="宋体" w:eastAsia="宋体" w:cs="宋体"/>
        </w:rPr>
      </w:pPr>
      <w:r>
        <w:rPr>
          <w:rFonts w:hint="eastAsia" w:ascii="宋体" w:hAnsi="宋体" w:eastAsia="宋体" w:cs="宋体"/>
        </w:rPr>
        <w:br w:type="page"/>
      </w:r>
    </w:p>
    <w:p>
      <w:pPr>
        <w:rPr>
          <w:rFonts w:hint="eastAsia" w:ascii="宋体" w:hAnsi="宋体" w:eastAsia="宋体" w:cs="宋体"/>
        </w:rPr>
      </w:pPr>
      <w:r>
        <w:rPr>
          <w:rFonts w:hint="eastAsia" w:ascii="宋体" w:hAnsi="宋体" w:eastAsia="宋体" w:cs="宋体"/>
        </w:rPr>
        <w:drawing>
          <wp:inline distT="0" distB="0" distL="0" distR="0">
            <wp:extent cx="5760720" cy="4247515"/>
            <wp:effectExtent l="19050" t="0" r="0" b="0"/>
            <wp:docPr id="1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pic:cNvPicPr>
                      <a:picLocks noChangeAspect="1" noChangeArrowheads="1"/>
                    </pic:cNvPicPr>
                  </pic:nvPicPr>
                  <pic:blipFill>
                    <a:blip r:embed="rId35"/>
                    <a:srcRect/>
                    <a:stretch>
                      <a:fillRect/>
                    </a:stretch>
                  </pic:blipFill>
                  <pic:spPr>
                    <a:xfrm>
                      <a:off x="0" y="0"/>
                      <a:ext cx="5760720" cy="4247713"/>
                    </a:xfrm>
                    <a:prstGeom prst="rect">
                      <a:avLst/>
                    </a:prstGeom>
                    <a:noFill/>
                    <a:ln w="9525">
                      <a:noFill/>
                      <a:miter lim="800000"/>
                      <a:headEnd/>
                      <a:tailEnd/>
                    </a:ln>
                  </pic:spPr>
                </pic:pic>
              </a:graphicData>
            </a:graphic>
          </wp:inline>
        </w:drawing>
      </w:r>
      <w:r>
        <w:rPr>
          <w:rFonts w:hint="eastAsia" w:ascii="宋体" w:hAnsi="宋体" w:eastAsia="宋体" w:cs="宋体"/>
        </w:rPr>
        <w:br w:type="page"/>
      </w:r>
    </w:p>
    <w:p>
      <w:pPr>
        <w:rPr>
          <w:rFonts w:hint="eastAsia" w:ascii="宋体" w:hAnsi="宋体" w:eastAsia="宋体" w:cs="宋体"/>
        </w:rPr>
      </w:pPr>
      <w:r>
        <w:rPr>
          <w:rFonts w:hint="eastAsia" w:ascii="宋体" w:hAnsi="宋体" w:eastAsia="宋体" w:cs="宋体"/>
        </w:rPr>
        <w:drawing>
          <wp:inline distT="0" distB="0" distL="0" distR="0">
            <wp:extent cx="5760720" cy="5840095"/>
            <wp:effectExtent l="19050" t="0" r="0" b="0"/>
            <wp:docPr id="1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7"/>
                    <pic:cNvPicPr>
                      <a:picLocks noChangeAspect="1" noChangeArrowheads="1"/>
                    </pic:cNvPicPr>
                  </pic:nvPicPr>
                  <pic:blipFill>
                    <a:blip r:embed="rId36"/>
                    <a:srcRect/>
                    <a:stretch>
                      <a:fillRect/>
                    </a:stretch>
                  </pic:blipFill>
                  <pic:spPr>
                    <a:xfrm>
                      <a:off x="0" y="0"/>
                      <a:ext cx="5760720" cy="5840381"/>
                    </a:xfrm>
                    <a:prstGeom prst="rect">
                      <a:avLst/>
                    </a:prstGeom>
                    <a:noFill/>
                    <a:ln w="9525">
                      <a:noFill/>
                      <a:miter lim="800000"/>
                      <a:headEnd/>
                      <a:tailEnd/>
                    </a:ln>
                  </pic:spPr>
                </pic:pic>
              </a:graphicData>
            </a:graphic>
          </wp:inline>
        </w:drawing>
      </w:r>
      <w:r>
        <w:rPr>
          <w:rFonts w:hint="eastAsia" w:ascii="宋体" w:hAnsi="宋体" w:eastAsia="宋体" w:cs="宋体"/>
        </w:rPr>
        <w:br w:type="page"/>
      </w:r>
    </w:p>
    <w:p>
      <w:pPr>
        <w:rPr>
          <w:rFonts w:hint="eastAsia" w:ascii="宋体" w:hAnsi="宋体" w:eastAsia="宋体" w:cs="宋体"/>
        </w:rPr>
      </w:pPr>
      <w:r>
        <w:rPr>
          <w:rFonts w:hint="eastAsia" w:ascii="宋体" w:hAnsi="宋体" w:eastAsia="宋体" w:cs="宋体"/>
        </w:rPr>
        <w:tab/>
      </w:r>
      <w:r>
        <w:rPr>
          <w:rFonts w:hint="eastAsia" w:ascii="宋体" w:hAnsi="宋体" w:eastAsia="宋体" w:cs="宋体"/>
        </w:rPr>
        <w:drawing>
          <wp:inline distT="0" distB="0" distL="0" distR="0">
            <wp:extent cx="5760720" cy="2006600"/>
            <wp:effectExtent l="19050" t="0" r="0" b="0"/>
            <wp:docPr id="1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
                    <pic:cNvPicPr>
                      <a:picLocks noChangeAspect="1" noChangeArrowheads="1"/>
                    </pic:cNvPicPr>
                  </pic:nvPicPr>
                  <pic:blipFill>
                    <a:blip r:embed="rId37"/>
                    <a:srcRect/>
                    <a:stretch>
                      <a:fillRect/>
                    </a:stretch>
                  </pic:blipFill>
                  <pic:spPr>
                    <a:xfrm>
                      <a:off x="0" y="0"/>
                      <a:ext cx="5760720" cy="2006932"/>
                    </a:xfrm>
                    <a:prstGeom prst="rect">
                      <a:avLst/>
                    </a:prstGeom>
                    <a:noFill/>
                    <a:ln w="9525">
                      <a:noFill/>
                      <a:miter lim="800000"/>
                      <a:headEnd/>
                      <a:tailEnd/>
                    </a:ln>
                  </pic:spPr>
                </pic:pic>
              </a:graphicData>
            </a:graphic>
          </wp:inline>
        </w:drawing>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br w:type="page"/>
      </w:r>
    </w:p>
    <w:p>
      <w:pPr>
        <w:rPr>
          <w:rFonts w:hint="eastAsia" w:ascii="宋体" w:hAnsi="宋体" w:eastAsia="宋体" w:cs="宋体"/>
        </w:rPr>
      </w:pPr>
      <w:r>
        <w:rPr>
          <w:rFonts w:hint="eastAsia" w:ascii="宋体" w:hAnsi="宋体" w:eastAsia="宋体" w:cs="宋体"/>
        </w:rPr>
        <w:drawing>
          <wp:inline distT="0" distB="0" distL="0" distR="0">
            <wp:extent cx="5760720" cy="2787015"/>
            <wp:effectExtent l="19050" t="0" r="0" b="0"/>
            <wp:docPr id="1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
                    <pic:cNvPicPr>
                      <a:picLocks noChangeAspect="1" noChangeArrowheads="1"/>
                    </pic:cNvPicPr>
                  </pic:nvPicPr>
                  <pic:blipFill>
                    <a:blip r:embed="rId38"/>
                    <a:srcRect/>
                    <a:stretch>
                      <a:fillRect/>
                    </a:stretch>
                  </pic:blipFill>
                  <pic:spPr>
                    <a:xfrm>
                      <a:off x="0" y="0"/>
                      <a:ext cx="5760720" cy="2787600"/>
                    </a:xfrm>
                    <a:prstGeom prst="rect">
                      <a:avLst/>
                    </a:prstGeom>
                    <a:noFill/>
                    <a:ln w="9525">
                      <a:noFill/>
                      <a:miter lim="800000"/>
                      <a:headEnd/>
                      <a:tailEnd/>
                    </a:ln>
                  </pic:spPr>
                </pic:pic>
              </a:graphicData>
            </a:graphic>
          </wp:inline>
        </w:drawing>
      </w:r>
      <w:r>
        <w:rPr>
          <w:rFonts w:hint="eastAsia" w:ascii="宋体" w:hAnsi="宋体" w:eastAsia="宋体" w:cs="宋体"/>
        </w:rPr>
        <w:br w:type="page"/>
      </w:r>
    </w:p>
    <w:p>
      <w:pPr/>
      <w:r>
        <w:rPr>
          <w:rFonts w:hint="eastAsia" w:ascii="宋体" w:hAnsi="宋体" w:eastAsia="宋体" w:cs="宋体"/>
        </w:rPr>
        <w:drawing>
          <wp:inline distT="0" distB="0" distL="0" distR="0">
            <wp:extent cx="5760720" cy="2809240"/>
            <wp:effectExtent l="19050" t="0" r="0" b="0"/>
            <wp:docPr id="1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0"/>
                    <pic:cNvPicPr>
                      <a:picLocks noChangeAspect="1" noChangeArrowheads="1"/>
                    </pic:cNvPicPr>
                  </pic:nvPicPr>
                  <pic:blipFill>
                    <a:blip r:embed="rId39"/>
                    <a:srcRect/>
                    <a:stretch>
                      <a:fillRect/>
                    </a:stretch>
                  </pic:blipFill>
                  <pic:spPr>
                    <a:xfrm>
                      <a:off x="0" y="0"/>
                      <a:ext cx="5760720" cy="2809844"/>
                    </a:xfrm>
                    <a:prstGeom prst="rect">
                      <a:avLst/>
                    </a:prstGeom>
                    <a:noFill/>
                    <a:ln w="9525">
                      <a:noFill/>
                      <a:miter lim="800000"/>
                      <a:headEnd/>
                      <a:tailEnd/>
                    </a:ln>
                  </pic:spPr>
                </pic:pic>
              </a:graphicData>
            </a:graphic>
          </wp:inline>
        </w:drawing>
      </w:r>
      <w:r>
        <w:br w:type="page"/>
      </w:r>
    </w:p>
    <w:p>
      <w:pPr/>
      <w:r>
        <w:pict>
          <v:rect id="_x0000_s1027" o:spid="_x0000_s1027" o:spt="1" style="position:absolute;left:0pt;margin-left:-70.5pt;margin-top:-85.25pt;height:841.15pt;width:595.1pt;z-index:251665408;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by1/dAAAADwEAAA8AAAAAAAAAAQAgAAAAIgAAAGRycy9kb3ducmV2LnhtbFBLAQIUABQA&#10;AAAIAIdO4kAlmqUrXQIAAIwEAAAOAAAAAAAAAAEAIAAAACwBAABkcnMvZTJvRG9jLnhtbFBLBQYA&#10;AAAABgAGAFkBAAD7BQAAAAA=&#10;">
            <v:path/>
            <v:fill on="t" focussize="0,0"/>
            <v:stroke on="f" weight="1pt"/>
            <v:imagedata o:title=""/>
            <o:lock v:ext="edit"/>
          </v:rect>
        </w:pict>
      </w:r>
    </w:p>
    <w:sectPr>
      <w:headerReference r:id="rId27" w:type="first"/>
      <w:headerReference r:id="rId26" w:type="default"/>
      <w:footerReference r:id="rId28"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roman"/>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00000" w:csb1="00000000"/>
  </w:font>
  <w:font w:name="Yu Gothic UI Semibold">
    <w:altName w:val="MS UI Gothic"/>
    <w:panose1 w:val="020B0700000000000000"/>
    <w:charset w:val="80"/>
    <w:family w:val="modern"/>
    <w:pitch w:val="default"/>
    <w:sig w:usb0="00000000" w:usb1="00000000" w:usb2="00000016" w:usb3="00000000" w:csb0="0002009F" w:csb1="00000000"/>
  </w:font>
  <w:font w:name="微软雅黑">
    <w:panose1 w:val="020B0503020204020204"/>
    <w:charset w:val="86"/>
    <w:family w:val="modern"/>
    <w:pitch w:val="default"/>
    <w:sig w:usb0="80000287" w:usb1="280F3C52" w:usb2="00000016" w:usb3="00000000" w:csb0="0004001F" w:csb1="00000000"/>
  </w:font>
  <w:font w:name="思源黑体 HW Bold">
    <w:altName w:val="黑体"/>
    <w:panose1 w:val="00000000000000000000"/>
    <w:charset w:val="86"/>
    <w:family w:val="modern"/>
    <w:pitch w:val="default"/>
    <w:sig w:usb0="00000000" w:usb1="00000000" w:usb2="00000016" w:usb3="00000000" w:csb0="002E0107" w:csb1="00000000"/>
  </w:font>
  <w:font w:name="ArialUnicodeMS">
    <w:altName w:val="Malgun Gothic"/>
    <w:panose1 w:val="00000000000000000000"/>
    <w:charset w:val="81"/>
    <w:family w:val="auto"/>
    <w:pitch w:val="default"/>
    <w:sig w:usb0="00000000" w:usb1="00000000" w:usb2="00000010" w:usb3="00000000" w:csb0="00080001"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方正粗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TimesNewRomanPSMT">
    <w:altName w:val="Arial"/>
    <w:panose1 w:val="00000000000000000000"/>
    <w:charset w:val="00"/>
    <w:family w:val="modern"/>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等线">
    <w:altName w:val="微软雅黑"/>
    <w:panose1 w:val="00000000000000000000"/>
    <w:charset w:val="00"/>
    <w:family w:val="auto"/>
    <w:pitch w:val="default"/>
    <w:sig w:usb0="00000000" w:usb1="00000000" w:usb2="00000000" w:usb3="00000000" w:csb0="00000000" w:csb1="00000000"/>
  </w:font>
  <w:font w:name="MS UI Gothic">
    <w:panose1 w:val="020B0600070205080204"/>
    <w:charset w:val="80"/>
    <w:family w:val="auto"/>
    <w:pitch w:val="default"/>
    <w:sig w:usb0="E00002FF" w:usb1="6AC7FDFB" w:usb2="00000012" w:usb3="00000000" w:csb0="4002009F" w:csb1="DFD7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书宋_GBK">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UI Gothic">
    <w:panose1 w:val="020B0600070205080204"/>
    <w:charset w:val="80"/>
    <w:family w:val="modern"/>
    <w:pitch w:val="default"/>
    <w:sig w:usb0="E00002FF" w:usb1="6AC7FDFB" w:usb2="00000012" w:usb3="00000000" w:csb0="4002009F" w:csb1="DFD70000"/>
  </w:font>
  <w:font w:name="黑体">
    <w:panose1 w:val="02010609060101010101"/>
    <w:charset w:val="86"/>
    <w:family w:val="modern"/>
    <w:pitch w:val="default"/>
    <w:sig w:usb0="800002BF" w:usb1="38CF7CFA" w:usb2="00000016" w:usb3="00000000" w:csb0="00040001" w:csb1="00000000"/>
  </w:font>
  <w:font w:name="Malgun Gothic">
    <w:panose1 w:val="020B0503020000020004"/>
    <w:charset w:val="81"/>
    <w:family w:val="auto"/>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S UI Gothic">
    <w:panose1 w:val="020B06000702050802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72" o:spid="_x0000_s2072" o:spt="202" type="#_x0000_t202" style="position:absolute;left:0pt;margin-left:205.45pt;margin-top:-18.75pt;height:31.45pt;width:30.15pt;mso-position-horizontal-relative:margin;z-index:251890688;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4paM2gAA&#10;AAoBAAAPAAAAAAAAAAEAIAAAACIAAABkcnMvZG93bnJldi54bWxQSwECFAAUAAAACACHTuJABv+s&#10;BRwCAAAVBAAADgAAAAAAAAABACAAAAApAQAAZHJzL2Uyb0RvYy54bWxQSwUGAAAAAAYABgBZAQAA&#10;twUAAAAA&#10;">
          <v:path/>
          <v:fill on="f" focussize="0,0"/>
          <v:stroke on="f" weight="0.5pt" joinstyle="miter"/>
          <v:imagedata o:title=""/>
          <o:lock v:ext="edit"/>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- 15 -</w:t>
                </w:r>
                <w:r>
                  <w:rPr>
                    <w:rFonts w:ascii="Times New Roman" w:hAnsi="Times New Roman" w:cs="Times New Roman"/>
                    <w:sz w:val="24"/>
                    <w:szCs w:val="24"/>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49" o:spid="_x0000_s2049" o:spt="202" type="#_x0000_t202" style="position:absolute;left:0pt;margin-left:209.15pt;margin-top:-6pt;height:18.7pt;width:144pt;mso-position-horizontal-relative:margin;mso-wrap-style:none;z-index:252830720;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CSg7noZAgAAF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7ZxX26YPQOI5Fld27Xgq0wO52EWQKmOc&#10;AOpROeGG1MvQn84kcfvX/+z1dMzz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33f3PZAAAACgEA&#10;AA8AAAAAAAAAAQAgAAAAIgAAAGRycy9kb3ducmV2LnhtbFBLAQIUABQAAAAIAIdO4kAkoO56GQIA&#10;ABQEAAAOAAAAAAAAAAEAIAAAACgBAABkcnMvZTJvRG9jLnhtbFBLBQYAAAAABgAGAFkBAACzBQAA&#10;AAA=&#10;">
          <v:path/>
          <v:fill on="f" focussize="0,0"/>
          <v:stroke on="f" weight="0.5pt" joinstyle="miter"/>
          <v:imagedata o:title=""/>
          <o:lock v:ext="edit"/>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- 29 -</w:t>
                </w:r>
                <w:r>
                  <w:rPr>
                    <w:rFonts w:ascii="Times New Roman" w:hAnsi="Times New Roman" w:cs="Times New Roman"/>
                    <w:sz w:val="24"/>
                    <w:szCs w:val="2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87" o:spid="_x0000_s2087" o:spt="202" type="#_x0000_t202" style="position:absolute;left:0pt;margin-left:209.65pt;margin-top:-12.95pt;height:14.3pt;width:30.6pt;mso-position-horizontal-relative:margin;z-index:251887616;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Bml4/0ZAgAAE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Y6OK/2TR+AvHMsbuzW8VSmh3J1iCBVRjlB&#10;1ONyQQ6Zl8G/XEmi9q//2evplp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UcT/ZAAAACQEA&#10;AA8AAAAAAAAAAQAgAAAAIgAAAGRycy9kb3ducmV2LnhtbFBLAQIUABQAAAAIAIdO4kAZpeP9GQIA&#10;ABMEAAAOAAAAAAAAAAEAIAAAACgBAABkcnMvZTJvRG9jLnhtbFBLBQYAAAAABgAGAFkBAACzBQAA&#10;AAA=&#10;">
          <v:path/>
          <v:fill on="f" focussize="0,0"/>
          <v:stroke on="f" weight="0.5pt" joinstyle="miter"/>
          <v:imagedata o:title=""/>
          <o:lock v:ext="edit"/>
          <v:textbox inset="0mm,0mm,0mm,0mm">
            <w:txbxContent>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- 2 -</w:t>
                </w:r>
                <w:r>
                  <w:rPr>
                    <w:rFonts w:ascii="Times New Roman" w:hAnsi="Times New Roman" w:cs="Times New Roman"/>
                    <w:sz w:val="24"/>
                    <w:szCs w:val="24"/>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95" o:spid="_x0000_s2095" o:spt="202" type="#_x0000_t202" style="position:absolute;left:0pt;margin-left:206.55pt;margin-top:-22.45pt;height:35.15pt;width:34pt;mso-position-horizontal-relative:margin;z-index:251888640;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dXN+9kAAAAK&#10;AQAADwAAAAAAAAABACAAAAAiAAAAZHJzL2Rvd25yZXYueG1sUEsBAhQAFAAAAAgAh07iQNXYQ6Ab&#10;AgAAEwQAAA4AAAAAAAAAAQAgAAAAKAEAAGRycy9lMm9Eb2MueG1sUEsFBgAAAAAGAAYAWQEAALUF&#10;AAAAAA==&#10;">
          <v:path/>
          <v:fill on="f" focussize="0,0"/>
          <v:stroke on="f" weight="0.5pt" joinstyle="miter"/>
          <v:imagedata o:title=""/>
          <o:lock v:ext="edit"/>
          <v:textbox inset="0mm,0mm,0mm,0mm">
            <w:txbxContent>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64" o:spid="_x0000_s2064" o:spt="202" type="#_x0000_t202" style="position:absolute;left:0pt;margin-left:209.15pt;margin-top:-6pt;height:18.7pt;width:144pt;mso-position-horizontal-relative:margin;mso-wrap-style:none;z-index:25188966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fd/c9kAAAAKAQAA&#10;DwAAAAAAAAABACAAAAAiAAAAZHJzL2Rvd25yZXYueG1sUEsBAhQAFAAAAAgAh07iQHdynxEYAgAA&#10;EgQAAA4AAAAAAAAAAQAgAAAAKAEAAGRycy9lMm9Eb2MueG1sUEsFBgAAAAAGAAYAWQEAALIFAAAA&#10;AA==&#10;">
          <v:path/>
          <v:fill on="f" focussize="0,0"/>
          <v:stroke on="f" weight="0.5pt" joinstyle="miter"/>
          <v:imagedata o:title=""/>
          <o:lock v:ext="edit"/>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- 19 -</w:t>
                </w:r>
                <w:r>
                  <w:rPr>
                    <w:rFonts w:ascii="Times New Roman" w:hAnsi="Times New Roman" w:cs="Times New Roman"/>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100" o:spid="_x0000_s2100" o:spt="203" style="position:absolute;left:0pt;margin-top:29.75pt;height:32pt;width:157.5pt;mso-position-horizontal:left;mso-position-horizontal-relative:page;mso-position-vertical-relative:page;z-index:251659264;mso-width-relative:page;mso-height-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o:lock v:ext="edit"/>
          <v:shape id="文本框 6" o:spid="_x0000_s2102"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2101" o:spt="1" style="position:absolute;left:1337;top:1044;height:330;width:119;v-text-anchor:middle;" fillcolor="#000000"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path/>
            <v:fill on="t" focussize="0,0"/>
            <v:stroke on="f" weight="1pt"/>
            <v:imagedata o:title=""/>
            <o:lock v:ext="edit"/>
          </v:rect>
        </v:group>
      </w:pict>
    </w:r>
    <w:r>
      <w:pict>
        <v:group id="_x0000_s2096" o:spid="_x0000_s2096" o:spt="203" style="position:absolute;left:0pt;margin-left:0pt;margin-top:0pt;height:58.95pt;width:596.5pt;mso-position-horizontal-relative:page;mso-position-vertical-relative:page;z-index:251658240;mso-width-relative:page;mso-height-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v:rect id="矩形 2" o:spid="_x0000_s2099" o:spt="1" style="position:absolute;left:881;top:1538;height:146;width:11925;v-text-anchor:middle;" fillcolor="#FFD966"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98" o:spt="100" style="position:absolute;left:10177;top:686;height:862;width:2619;v-text-anchor:middle;" fillcolor="#000000"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97" o:spt="100" style="position:absolute;left:10467;top:505;height:1108;width:2345;v-text-anchor:middle;" fillcolor="#FFD966"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type="segments" o:connectlocs="598,0;2345,8;2345,1108;0,1108;598,0" o:connectangles="0,0,0,0,0"/>
            <v:fill on="t" focussize="0,0"/>
            <v:stroke on="f" weight="1pt" joinstyle="miter"/>
            <v:imagedata o:title=""/>
            <o:lock v:ext="edit"/>
          </v:shape>
        </v:group>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68" o:spid="_x0000_s2068" o:spt="203" style="position:absolute;left:0pt;margin-left:0pt;margin-top:0pt;height:37.85pt;width:594.8pt;mso-position-horizontal-relative:page;mso-position-vertical-relative:page;z-index:251754496;mso-width-relative:page;mso-height-relative:page;" coordorigin="881,505" coordsize="11930,1179203"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v:rect id="矩形 2" o:spid="_x0000_s2071" o:spt="1" style="position:absolute;left:881;top:1538;height:146;width:11925;v-text-anchor:middle;" fillcolor="#FFD966"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path/>
            <v:fill on="t" focussize="0,0"/>
            <v:stroke on="f" weight="1pt"/>
            <v:imagedata o:title=""/>
            <o:lock v:ext="edit"/>
          </v:rect>
          <v:shape id="任意多边形 3" o:spid="_x0000_s2070" o:spt="100" style="position:absolute;left:10177;top:686;height:862;width:2619;v-text-anchor:middle;" fillcolor="#000000"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type="segments" o:connectlocs="595,1;2619,0;2619,862;0,862;595,1" o:connectangles="0,0,0,0,0"/>
            <v:fill on="t" focussize="0,0"/>
            <v:stroke on="f" weight="1pt" joinstyle="miter"/>
            <v:imagedata o:title=""/>
            <o:lock v:ext="edit"/>
          </v:shape>
          <v:shape id="任意多边形 4" o:spid="_x0000_s2069" o:spt="100" style="position:absolute;left:10467;top:505;height:1108;width:2345;v-text-anchor:middle;" fillcolor="#FFD966"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r>
      <w:pict>
        <v:group id="_x0000_s2065" o:spid="_x0000_s2065" o:spt="203" style="position:absolute;left:0pt;margin-left:-2.15pt;margin-top:47.15pt;height:32pt;width:235.7pt;mso-position-horizontal-relative:page;mso-position-vertical-relative:page;z-index:251755520;mso-width-relative:page;mso-height-relative:page;" coordorigin="1337,880" coordsize="3150,640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v:shape id="文本框 6" o:spid="_x0000_s2067"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2066" o:spt="1" style="position:absolute;left:1337;top:1044;height:330;width:119;v-text-anchor:middle;" fillcolor="#000000"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77" o:spid="_x0000_s2077" o:spt="203" style="position:absolute;left:0pt;margin-top:29.75pt;height:32pt;width:157.5pt;mso-position-horizontal:left;mso-position-horizontal-relative:page;mso-position-vertical-relative:page;z-index:251757568;mso-width-relative:page;mso-height-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o:lock v:ext="edit"/>
          <v:shape id="文本框 6" o:spid="_x0000_s2079"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2078" o:spt="1" style="position:absolute;left:1337;top:1044;height:330;width:119;v-text-anchor:middle;" fillcolor="#000000"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r>
      <w:pict>
        <v:group id="_x0000_s2073" o:spid="_x0000_s2073" o:spt="203" style="position:absolute;left:0pt;margin-left:0pt;margin-top:0pt;height:58.95pt;width:596.5pt;mso-position-horizontal-relative:page;mso-position-vertical-relative:page;z-index:251756544;mso-width-relative:page;mso-height-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o:lock v:ext="edit"/>
          <v:rect id="矩形 2" o:spid="_x0000_s2076" o:spt="1" style="position:absolute;left:881;top:1538;height:146;width:11925;v-text-anchor:middle;" fillcolor="#FFD966"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path/>
            <v:fill on="t" focussize="0,0"/>
            <v:stroke on="f" weight="1pt"/>
            <v:imagedata o:title=""/>
            <o:lock v:ext="edit"/>
          </v:rect>
          <v:shape id="任意多边形 3" o:spid="_x0000_s2075" o:spt="100" style="position:absolute;left:10177;top:686;height:862;width:2619;v-text-anchor:middle;" fillcolor="#000000"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type="segments" o:connectlocs="595,1;2619,0;2619,862;0,862;595,1" o:connectangles="0,0,0,0,0"/>
            <v:fill on="t" focussize="0,0"/>
            <v:stroke on="f" weight="1pt" joinstyle="miter"/>
            <v:imagedata o:title=""/>
            <o:lock v:ext="edit"/>
          </v:shape>
          <v:shape id="任意多边形 4" o:spid="_x0000_s2074" o:spt="100" style="position:absolute;left:10467;top:505;height:1108;width:2345;v-text-anchor:middle;" fillcolor="#FFD966"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53" o:spid="_x0000_s2053" o:spt="203" style="position:absolute;left:0pt;margin-left:2.5pt;margin-top:28.75pt;height:35.25pt;width:594.8pt;mso-position-horizontal-relative:page;mso-position-vertical-relative:page;z-index:252831744;mso-width-relative:page;mso-height-relative:page;" coordorigin="881,505" coordsize="11930,1179203"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v:rect id="矩形 2" o:spid="_x0000_s2056" o:spt="1" style="position:absolute;left:881;top:1538;height:146;width:11925;v-text-anchor:middle;" fillcolor="#FFD966"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55" o:spt="100" style="position:absolute;left:10177;top:686;height:862;width:2619;v-text-anchor:middle;" fillcolor="#000000"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54" o:spt="100" style="position:absolute;left:10467;top:505;height:1108;width:2345;v-text-anchor:middle;" fillcolor="#FFD966"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type="segments" o:connectlocs="598,0;2345,8;2345,1108;0,1108;598,0" o:connectangles="0,0,0,0,0"/>
            <v:fill on="t" focussize="0,0"/>
            <v:stroke on="f" weight="1pt" joinstyle="miter"/>
            <v:imagedata o:title=""/>
            <o:lock v:ext="edit"/>
          </v:shape>
        </v:group>
      </w:pict>
    </w:r>
    <w:r>
      <w:pict>
        <v:group id="_x0000_s2050" o:spid="_x0000_s2050" o:spt="203" style="position:absolute;left:0pt;margin-left:0pt;margin-top:29.75pt;height:32pt;width:280pt;mso-position-horizontal-relative:page;mso-position-vertical-relative:page;z-index:252832768;mso-width-relative:page;mso-height-relative:page;" coordorigin="1337,880" coordsize="3150,640203"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o:lock v:ext="edit"/>
          <v:shape id="文本框 6" o:spid="_x0000_s2052"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pPr/>
                </w:p>
              </w:txbxContent>
            </v:textbox>
          </v:shape>
          <v:rect id="矩形 7" o:spid="_x0000_s2051" o:spt="1" style="position:absolute;left:1337;top:1044;height:330;width:119;v-text-anchor:middle;" fillcolor="#000000"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path/>
            <v:fill on="t" focussize="0,0"/>
            <v:stroke on="f" weight="1pt"/>
            <v:imagedata o:title=""/>
            <o:lock v:ext="edit"/>
          </v:rect>
        </v:group>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60" o:spid="_x0000_s2060" o:spt="203" style="position:absolute;left:0pt;margin-left:0pt;margin-top:0pt;height:38.05pt;width:596.5pt;mso-position-horizontal-relative:page;mso-position-vertical-relative:page;z-index:251891712;mso-width-relative:page;mso-height-relative:page;mso-width-percent:1000;" coordorigin="881,505" coordsize="11930,1179203"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v:rect id="矩形 2" o:spid="_x0000_s2063" o:spt="1" style="position:absolute;left:881;top:1538;height:146;width:11925;v-text-anchor:middle;" fillcolor="#FFD966"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62" o:spt="100" style="position:absolute;left:10177;top:686;height:862;width:2619;v-text-anchor:middle;" fillcolor="#000000"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61" o:spt="100" style="position:absolute;left:10467;top:505;height:1108;width:2345;v-text-anchor:middle;" fillcolor="#FFD966"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r>
      <w:pict>
        <v:group id="_x0000_s2057" o:spid="_x0000_s2057" o:spt="203" style="position:absolute;left:0pt;margin-top:29.75pt;height:32pt;width:254.25pt;mso-position-horizontal:left;mso-position-horizontal-relative:page;mso-position-vertical-relative:page;z-index:251892736;mso-width-relative:page;mso-height-relative:page;" coordorigin="1337,880" coordsize="3150,640203"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o:lock v:ext="edit"/>
          <v:shape id="文本框 6" o:spid="_x0000_s2059"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2058" o:spt="1" style="position:absolute;left:1337;top:1044;height:330;width:119;v-text-anchor:middle;" fillcolor="#000000"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path/>
            <v:fill on="t" focussize="0,0"/>
            <v:stroke on="f" weight="1pt"/>
            <v:imagedata o:title=""/>
            <o:lock v:ext="edit"/>
          </v:rect>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91" o:spid="_x0000_s2091" o:spt="203" style="position:absolute;left:0pt;margin-left:0pt;margin-top:53.75pt;height:31.5pt;width:594.8pt;mso-position-horizontal-relative:page;mso-position-vertical-relative:page;z-index:251885568;mso-width-relative:page;mso-height-relative:page;" coordorigin="881,505" coordsize="11930,1179203"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o:lock v:ext="edit"/>
          <v:rect id="矩形 2" o:spid="_x0000_s2094" o:spt="1" style="position:absolute;left:881;top:1538;height:146;width:11925;v-text-anchor:middle;" fillcolor="#FFD966"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path/>
            <v:fill on="t" focussize="0,0"/>
            <v:stroke on="f" weight="1pt"/>
            <v:imagedata o:title=""/>
            <o:lock v:ext="edit"/>
          </v:rect>
          <v:shape id="任意多边形 3" o:spid="_x0000_s2093" o:spt="100" style="position:absolute;left:10177;top:686;height:862;width:2619;v-text-anchor:middle;" fillcolor="#000000"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92" o:spt="100" style="position:absolute;left:10467;top:505;height:1108;width:2345;v-text-anchor:middle;" fillcolor="#FFD966"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type="segments" o:connectlocs="598,0;2345,8;2345,1108;0,1108;598,0" o:connectangles="0,0,0,0,0"/>
            <v:fill on="t" focussize="0,0"/>
            <v:stroke on="f" weight="1pt" joinstyle="miter"/>
            <v:imagedata o:title=""/>
            <o:lock v:ext="edit"/>
          </v:shape>
        </v:group>
      </w:pict>
    </w:r>
    <w:r>
      <w:pict>
        <v:group id="_x0000_s2088" o:spid="_x0000_s2088" o:spt="203" style="position:absolute;left:0pt;margin-left:-2.15pt;margin-top:47.15pt;height:32pt;width:235.7pt;mso-position-horizontal-relative:page;mso-position-vertical-relative:page;z-index:251886592;mso-width-relative:page;mso-height-relative:page;" coordorigin="1337,880" coordsize="3150,640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o:lock v:ext="edit"/>
          <v:shape id="文本框 6" o:spid="_x0000_s2090"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2089" o:spt="1" style="position:absolute;left:1337;top:1044;height:330;width:119;v-text-anchor:middle;" fillcolor="#000000"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83" o:spid="_x0000_s2083" o:spt="203" style="position:absolute;left:0pt;margin-left:2.75pt;margin-top:46.95pt;height:32.8pt;width:596.85pt;mso-position-horizontal-relative:page;mso-position-vertical-relative:page;z-index:251705344;mso-width-relative:page;mso-height-relative:page;" coordorigin="881,505" coordsize="11971,1179203"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v:rect id="矩形 2" o:spid="_x0000_s2086" o:spt="1" style="position:absolute;left:881;top:1538;height:146;width:11925;v-text-anchor:middle;" fillcolor="#FFD966"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path/>
            <v:fill on="t" focussize="0,0"/>
            <v:stroke on="f" weight="1pt"/>
            <v:imagedata o:title=""/>
            <o:lock v:ext="edit"/>
          </v:rect>
          <v:shape id="任意多边形 3" o:spid="_x0000_s2085" o:spt="100" style="position:absolute;left:10177;top:686;height:862;width:2619;v-text-anchor:middle;" fillcolor="#000000"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type="segments" o:connectlocs="595,1;2619,0;2619,862;0,862;595,1" o:connectangles="0,0,0,0,0"/>
            <v:fill on="t" focussize="0,0"/>
            <v:stroke on="f" weight="1pt" joinstyle="miter"/>
            <v:imagedata o:title=""/>
            <o:lock v:ext="edit"/>
          </v:shape>
          <v:shape id="任意多边形 4" o:spid="_x0000_s2084" o:spt="100" style="position:absolute;left:10467;top:505;height:1107;width:2385;v-text-anchor:middle;" fillcolor="#FFD966"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type="segments" o:connectlocs="608,0;2385,8;2385,1107;0,1107;608,0" o:connectangles="0,0,0,0,0"/>
            <v:fill on="t" focussize="0,0"/>
            <v:stroke on="f" weight="1pt" joinstyle="miter"/>
            <v:imagedata o:title=""/>
            <o:lock v:ext="edit"/>
          </v:shape>
        </v:group>
      </w:pict>
    </w:r>
    <w:r>
      <w:pict>
        <v:group id="_x0000_s2080" o:spid="_x0000_s2080" o:spt="203" style="position:absolute;left:0pt;margin-left:1.95pt;margin-top:47.1pt;height:32pt;width:235.7pt;mso-position-horizontal-relative:page;mso-position-vertical-relative:page;z-index:251706368;mso-width-relative:page;mso-height-relative:page;" coordorigin="1337,880" coordsize="3150,640203" o:gfxdata="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ALh2iJ2QAAAAgBAAAPAAAAAAAAAAEAIAAA&#10;ACIAAABkcnMvZG93bnJldi54bWxQSwECFAAUAAAACACHTuJA0gnoPCgDAAA5CAAADgAAAAAAAAAB&#10;ACAAAAAoAQAAZHJzL2Uyb0RvYy54bWxQSwUGAAAAAAYABgBZAQAAwgYAAAAA&#10;">
          <o:lock v:ext="edit"/>
          <v:shape id="文本框 6" o:spid="_x0000_s2082" o:spt="202" type="#_x0000_t202" style="position:absolute;left:1401;top:880;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2081" o:spt="1" style="position:absolute;left:1337;top:1044;height:330;width:119;v-text-anchor:middle;" fillcolor="#000000"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path/>
            <v:fill on="t" focussize="0,0"/>
            <v:stroke on="f" weight="1pt"/>
            <v:imagedata o:title=""/>
            <o:lock v:ext="edit"/>
          </v:rect>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72019847">
    <w:nsid w:val="45DB9A87"/>
    <w:multiLevelType w:val="singleLevel"/>
    <w:tmpl w:val="45DB9A87"/>
    <w:lvl w:ilvl="0" w:tentative="1">
      <w:start w:val="3"/>
      <w:numFmt w:val="chineseCounting"/>
      <w:suff w:val="nothing"/>
      <w:lvlText w:val="（%1）"/>
      <w:lvlJc w:val="left"/>
      <w:rPr>
        <w:rFonts w:hint="eastAsia"/>
      </w:rPr>
    </w:lvl>
  </w:abstractNum>
  <w:num w:numId="1">
    <w:abstractNumId w:val="11720198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attachedTemplate r:id="rId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AAF1C96"/>
    <w:rsid w:val="0002333A"/>
    <w:rsid w:val="0007063E"/>
    <w:rsid w:val="00073392"/>
    <w:rsid w:val="00073F4E"/>
    <w:rsid w:val="00081E93"/>
    <w:rsid w:val="00086C89"/>
    <w:rsid w:val="000A39FB"/>
    <w:rsid w:val="000E2FBD"/>
    <w:rsid w:val="00117746"/>
    <w:rsid w:val="00163F95"/>
    <w:rsid w:val="00180A9A"/>
    <w:rsid w:val="001829C0"/>
    <w:rsid w:val="00184809"/>
    <w:rsid w:val="001907C4"/>
    <w:rsid w:val="00192112"/>
    <w:rsid w:val="001B0127"/>
    <w:rsid w:val="001C12D5"/>
    <w:rsid w:val="001C69F7"/>
    <w:rsid w:val="001D0465"/>
    <w:rsid w:val="00211D6B"/>
    <w:rsid w:val="00243138"/>
    <w:rsid w:val="002650EC"/>
    <w:rsid w:val="002A033C"/>
    <w:rsid w:val="002A6C46"/>
    <w:rsid w:val="002B027E"/>
    <w:rsid w:val="002C19B5"/>
    <w:rsid w:val="002E306D"/>
    <w:rsid w:val="003378A0"/>
    <w:rsid w:val="00381E4E"/>
    <w:rsid w:val="003949EF"/>
    <w:rsid w:val="003A4EE8"/>
    <w:rsid w:val="003B350C"/>
    <w:rsid w:val="00442CC2"/>
    <w:rsid w:val="00446244"/>
    <w:rsid w:val="00473C20"/>
    <w:rsid w:val="004762BD"/>
    <w:rsid w:val="00476F27"/>
    <w:rsid w:val="004A2887"/>
    <w:rsid w:val="004D61CB"/>
    <w:rsid w:val="00500297"/>
    <w:rsid w:val="005011D6"/>
    <w:rsid w:val="005036AF"/>
    <w:rsid w:val="00503F2E"/>
    <w:rsid w:val="00552226"/>
    <w:rsid w:val="00566120"/>
    <w:rsid w:val="00582E6D"/>
    <w:rsid w:val="005954D5"/>
    <w:rsid w:val="005A53FA"/>
    <w:rsid w:val="005B3863"/>
    <w:rsid w:val="005C059F"/>
    <w:rsid w:val="005D1293"/>
    <w:rsid w:val="00642EE5"/>
    <w:rsid w:val="00644D5F"/>
    <w:rsid w:val="00644E81"/>
    <w:rsid w:val="00667332"/>
    <w:rsid w:val="006727AD"/>
    <w:rsid w:val="00685399"/>
    <w:rsid w:val="00687634"/>
    <w:rsid w:val="00691425"/>
    <w:rsid w:val="006A516E"/>
    <w:rsid w:val="006B0830"/>
    <w:rsid w:val="006E50C7"/>
    <w:rsid w:val="00716E2B"/>
    <w:rsid w:val="007177B9"/>
    <w:rsid w:val="00770F18"/>
    <w:rsid w:val="00773B74"/>
    <w:rsid w:val="0078290C"/>
    <w:rsid w:val="007C06CA"/>
    <w:rsid w:val="008163FB"/>
    <w:rsid w:val="0082605B"/>
    <w:rsid w:val="00845F0E"/>
    <w:rsid w:val="00855C36"/>
    <w:rsid w:val="00857DBE"/>
    <w:rsid w:val="008701BC"/>
    <w:rsid w:val="00871174"/>
    <w:rsid w:val="00883D92"/>
    <w:rsid w:val="008A5362"/>
    <w:rsid w:val="008C47B5"/>
    <w:rsid w:val="008F21F1"/>
    <w:rsid w:val="008F221B"/>
    <w:rsid w:val="008F4C79"/>
    <w:rsid w:val="008F5A2D"/>
    <w:rsid w:val="00921602"/>
    <w:rsid w:val="00957EA1"/>
    <w:rsid w:val="00966E5B"/>
    <w:rsid w:val="00977BEE"/>
    <w:rsid w:val="009B068C"/>
    <w:rsid w:val="009B4EF0"/>
    <w:rsid w:val="009D271F"/>
    <w:rsid w:val="009F4B24"/>
    <w:rsid w:val="00A71F96"/>
    <w:rsid w:val="00A929C2"/>
    <w:rsid w:val="00AC05F0"/>
    <w:rsid w:val="00AD097F"/>
    <w:rsid w:val="00B844F4"/>
    <w:rsid w:val="00B95E28"/>
    <w:rsid w:val="00BA06A1"/>
    <w:rsid w:val="00BA770A"/>
    <w:rsid w:val="00BB12B8"/>
    <w:rsid w:val="00C054DE"/>
    <w:rsid w:val="00C679A9"/>
    <w:rsid w:val="00C7541C"/>
    <w:rsid w:val="00C95D1C"/>
    <w:rsid w:val="00CC0FAA"/>
    <w:rsid w:val="00CC5199"/>
    <w:rsid w:val="00CD0736"/>
    <w:rsid w:val="00D1570F"/>
    <w:rsid w:val="00D32830"/>
    <w:rsid w:val="00D471D6"/>
    <w:rsid w:val="00DB7153"/>
    <w:rsid w:val="00DB7F05"/>
    <w:rsid w:val="00E028C3"/>
    <w:rsid w:val="00E13D8D"/>
    <w:rsid w:val="00E14F77"/>
    <w:rsid w:val="00E3076B"/>
    <w:rsid w:val="00E36978"/>
    <w:rsid w:val="00E522C3"/>
    <w:rsid w:val="00E82A1E"/>
    <w:rsid w:val="00EC06F4"/>
    <w:rsid w:val="00EE4E36"/>
    <w:rsid w:val="00EF55A9"/>
    <w:rsid w:val="00F129C8"/>
    <w:rsid w:val="00F23E1C"/>
    <w:rsid w:val="00F4753A"/>
    <w:rsid w:val="00F665F4"/>
    <w:rsid w:val="00F94AF7"/>
    <w:rsid w:val="00FD225F"/>
    <w:rsid w:val="02123F18"/>
    <w:rsid w:val="08A91048"/>
    <w:rsid w:val="31C2036A"/>
    <w:rsid w:val="320D02A5"/>
    <w:rsid w:val="348E566F"/>
    <w:rsid w:val="3A226944"/>
    <w:rsid w:val="3AEE6A48"/>
    <w:rsid w:val="3C1620AA"/>
    <w:rsid w:val="3D8F080F"/>
    <w:rsid w:val="44CE1FA4"/>
    <w:rsid w:val="487F73ED"/>
    <w:rsid w:val="4A347EAE"/>
    <w:rsid w:val="4CB559BF"/>
    <w:rsid w:val="52600405"/>
    <w:rsid w:val="529B4319"/>
    <w:rsid w:val="57773DD6"/>
    <w:rsid w:val="578B79AB"/>
    <w:rsid w:val="5CCD3FD5"/>
    <w:rsid w:val="61FA5F9D"/>
    <w:rsid w:val="623B4F2A"/>
    <w:rsid w:val="64CD6910"/>
    <w:rsid w:val="6789158D"/>
    <w:rsid w:val="67D81BA4"/>
    <w:rsid w:val="6AAF1C96"/>
    <w:rsid w:val="75681757"/>
    <w:rsid w:val="75A346A8"/>
    <w:rsid w:val="79B9382C"/>
    <w:rsid w:val="7B043B76"/>
    <w:rsid w:val="7C041A6A"/>
    <w:rsid w:val="7E32757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Body Text"/>
    <w:basedOn w:val="1"/>
    <w:unhideWhenUsed/>
    <w:qFormat/>
    <w:uiPriority w:val="99"/>
    <w:rPr>
      <w:rFonts w:ascii="仿宋_GB2312" w:hAnsi="仿宋_GB2312" w:eastAsia="仿宋_GB2312" w:cs="仿宋_GB2312"/>
      <w:sz w:val="32"/>
      <w:szCs w:val="32"/>
      <w:lang w:val="zh-CN" w:bidi="zh-CN"/>
    </w:rPr>
  </w:style>
  <w:style w:type="paragraph" w:styleId="5">
    <w:name w:val="Balloon Text"/>
    <w:basedOn w:val="1"/>
    <w:link w:val="17"/>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paragraph" w:styleId="8">
    <w:name w:val="Normal (Web)"/>
    <w:basedOn w:val="1"/>
    <w:uiPriority w:val="0"/>
    <w:rPr>
      <w:rFonts w:ascii="Calibri" w:hAnsi="Calibri" w:eastAsia="宋体" w:cs="Times New Roman"/>
      <w:sz w:val="24"/>
      <w:szCs w:val="24"/>
    </w:rPr>
  </w:style>
  <w:style w:type="character" w:styleId="10">
    <w:name w:val="Strong"/>
    <w:basedOn w:val="9"/>
    <w:qFormat/>
    <w:uiPriority w:val="0"/>
    <w:rPr>
      <w:b/>
      <w:bCs/>
    </w:rPr>
  </w:style>
  <w:style w:type="table" w:styleId="12">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3">
    <w:name w:val="页眉 Char"/>
    <w:basedOn w:val="9"/>
    <w:link w:val="7"/>
    <w:qFormat/>
    <w:uiPriority w:val="99"/>
    <w:rPr>
      <w:rFonts w:asciiTheme="minorHAnsi" w:hAnsiTheme="minorHAnsi" w:eastAsiaTheme="minorEastAsia"/>
      <w:sz w:val="18"/>
      <w:szCs w:val="18"/>
    </w:rPr>
  </w:style>
  <w:style w:type="character" w:customStyle="1" w:styleId="14">
    <w:name w:val="页脚 Char"/>
    <w:basedOn w:val="9"/>
    <w:link w:val="6"/>
    <w:qFormat/>
    <w:uiPriority w:val="99"/>
    <w:rPr>
      <w:sz w:val="18"/>
      <w:szCs w:val="18"/>
    </w:rPr>
  </w:style>
  <w:style w:type="paragraph" w:customStyle="1" w:styleId="15">
    <w:name w:val="列出段落1"/>
    <w:basedOn w:val="1"/>
    <w:qFormat/>
    <w:uiPriority w:val="1"/>
    <w:pPr>
      <w:spacing w:before="2"/>
      <w:ind w:left="119" w:right="434" w:firstLine="643"/>
    </w:pPr>
    <w:rPr>
      <w:rFonts w:ascii="仿宋_GB2312" w:hAnsi="仿宋_GB2312" w:eastAsia="仿宋_GB2312" w:cs="仿宋_GB2312"/>
      <w:lang w:val="zh-CN" w:bidi="zh-CN"/>
    </w:rPr>
  </w:style>
  <w:style w:type="character" w:customStyle="1" w:styleId="16">
    <w:name w:val="标题 2 Char"/>
    <w:basedOn w:val="9"/>
    <w:link w:val="3"/>
    <w:qFormat/>
    <w:uiPriority w:val="9"/>
    <w:rPr>
      <w:rFonts w:asciiTheme="majorHAnsi" w:hAnsiTheme="majorHAnsi" w:eastAsiaTheme="majorEastAsia" w:cstheme="majorBidi"/>
      <w:b/>
      <w:bCs/>
      <w:kern w:val="2"/>
      <w:sz w:val="32"/>
      <w:szCs w:val="32"/>
    </w:rPr>
  </w:style>
  <w:style w:type="character" w:customStyle="1" w:styleId="17">
    <w:name w:val="批注框文本 Char"/>
    <w:basedOn w:val="9"/>
    <w:link w:val="5"/>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3" Type="http://schemas.openxmlformats.org/officeDocument/2006/relationships/fontTable" Target="fontTable.xml"/><Relationship Id="rId42" Type="http://schemas.openxmlformats.org/officeDocument/2006/relationships/customXml" Target="../customXml/item2.xml"/><Relationship Id="rId41" Type="http://schemas.openxmlformats.org/officeDocument/2006/relationships/numbering" Target="numbering.xml"/><Relationship Id="rId40" Type="http://schemas.openxmlformats.org/officeDocument/2006/relationships/customXml" Target="../customXml/item1.xml"/><Relationship Id="rId4" Type="http://schemas.openxmlformats.org/officeDocument/2006/relationships/header" Target="header2.xml"/><Relationship Id="rId39" Type="http://schemas.openxmlformats.org/officeDocument/2006/relationships/image" Target="media/image10.emf"/><Relationship Id="rId38" Type="http://schemas.openxmlformats.org/officeDocument/2006/relationships/image" Target="media/image9.emf"/><Relationship Id="rId37" Type="http://schemas.openxmlformats.org/officeDocument/2006/relationships/image" Target="media/image8.emf"/><Relationship Id="rId36" Type="http://schemas.openxmlformats.org/officeDocument/2006/relationships/image" Target="media/image7.emf"/><Relationship Id="rId35" Type="http://schemas.openxmlformats.org/officeDocument/2006/relationships/image" Target="media/image6.emf"/><Relationship Id="rId34" Type="http://schemas.openxmlformats.org/officeDocument/2006/relationships/image" Target="media/image5.emf"/><Relationship Id="rId33" Type="http://schemas.openxmlformats.org/officeDocument/2006/relationships/image" Target="media/image4.emf"/><Relationship Id="rId32" Type="http://schemas.openxmlformats.org/officeDocument/2006/relationships/image" Target="media/image3.emf"/><Relationship Id="rId31" Type="http://schemas.openxmlformats.org/officeDocument/2006/relationships/image" Target="media/image2.emf"/><Relationship Id="rId30" Type="http://schemas.openxmlformats.org/officeDocument/2006/relationships/image" Target="media/image1.GIF"/><Relationship Id="rId3" Type="http://schemas.openxmlformats.org/officeDocument/2006/relationships/header" Target="header1.xml"/><Relationship Id="rId29" Type="http://schemas.openxmlformats.org/officeDocument/2006/relationships/theme" Target="theme/theme1.xml"/><Relationship Id="rId28" Type="http://schemas.openxmlformats.org/officeDocument/2006/relationships/footer" Target="footer11.xml"/><Relationship Id="rId27" Type="http://schemas.openxmlformats.org/officeDocument/2006/relationships/header" Target="header15.xml"/><Relationship Id="rId26" Type="http://schemas.openxmlformats.org/officeDocument/2006/relationships/header" Target="header14.xml"/><Relationship Id="rId25" Type="http://schemas.openxmlformats.org/officeDocument/2006/relationships/header" Target="header13.xml"/><Relationship Id="rId24" Type="http://schemas.openxmlformats.org/officeDocument/2006/relationships/header" Target="header12.xml"/><Relationship Id="rId23" Type="http://schemas.openxmlformats.org/officeDocument/2006/relationships/footer" Target="footer10.xml"/><Relationship Id="rId22" Type="http://schemas.openxmlformats.org/officeDocument/2006/relationships/footer" Target="footer9.xml"/><Relationship Id="rId21" Type="http://schemas.openxmlformats.org/officeDocument/2006/relationships/header" Target="header11.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102"/>
    <customShpInfo spid="_x0000_s2101"/>
    <customShpInfo spid="_x0000_s2100"/>
    <customShpInfo spid="_x0000_s2099"/>
    <customShpInfo spid="_x0000_s2098"/>
    <customShpInfo spid="_x0000_s2097"/>
    <customShpInfo spid="_x0000_s2096"/>
    <customShpInfo spid="_x0000_s2094"/>
    <customShpInfo spid="_x0000_s2093"/>
    <customShpInfo spid="_x0000_s2092"/>
    <customShpInfo spid="_x0000_s2091"/>
    <customShpInfo spid="_x0000_s2090"/>
    <customShpInfo spid="_x0000_s2089"/>
    <customShpInfo spid="_x0000_s2088"/>
    <customShpInfo spid="_x0000_s2087"/>
    <customShpInfo spid="_x0000_s2095"/>
    <customShpInfo spid="_x0000_s2086"/>
    <customShpInfo spid="_x0000_s2085"/>
    <customShpInfo spid="_x0000_s2084"/>
    <customShpInfo spid="_x0000_s2083"/>
    <customShpInfo spid="_x0000_s2082"/>
    <customShpInfo spid="_x0000_s2081"/>
    <customShpInfo spid="_x0000_s2080"/>
    <customShpInfo spid="_x0000_s2071"/>
    <customShpInfo spid="_x0000_s2070"/>
    <customShpInfo spid="_x0000_s2069"/>
    <customShpInfo spid="_x0000_s2068"/>
    <customShpInfo spid="_x0000_s2067"/>
    <customShpInfo spid="_x0000_s2066"/>
    <customShpInfo spid="_x0000_s2065"/>
    <customShpInfo spid="_x0000_s2079"/>
    <customShpInfo spid="_x0000_s2078"/>
    <customShpInfo spid="_x0000_s2077"/>
    <customShpInfo spid="_x0000_s2076"/>
    <customShpInfo spid="_x0000_s2075"/>
    <customShpInfo spid="_x0000_s2074"/>
    <customShpInfo spid="_x0000_s2073"/>
    <customShpInfo spid="_x0000_s2064"/>
    <customShpInfo spid="_x0000_s2072"/>
    <customShpInfo spid="_x0000_s2056"/>
    <customShpInfo spid="_x0000_s2055"/>
    <customShpInfo spid="_x0000_s2054"/>
    <customShpInfo spid="_x0000_s2053"/>
    <customShpInfo spid="_x0000_s2052"/>
    <customShpInfo spid="_x0000_s2051"/>
    <customShpInfo spid="_x0000_s2050"/>
    <customShpInfo spid="_x0000_s2063"/>
    <customShpInfo spid="_x0000_s2062"/>
    <customShpInfo spid="_x0000_s2061"/>
    <customShpInfo spid="_x0000_s2060"/>
    <customShpInfo spid="_x0000_s2059"/>
    <customShpInfo spid="_x0000_s2058"/>
    <customShpInfo spid="_x0000_s2057"/>
    <customShpInfo spid="_x0000_s2049"/>
    <customShpInfo spid="_x0000_s1026"/>
    <customShpInfo spid="_x0000_s1051"/>
    <customShpInfo spid="_x0000_s1050"/>
    <customShpInfo spid="_x0000_s1049"/>
    <customShpInfo spid="_x0000_s1048"/>
    <customShpInfo spid="_x0000_s1047"/>
    <customShpInfo spid="_x0000_s1046"/>
    <customShpInfo spid="_x0000_s1042"/>
    <customShpInfo spid="_x0000_s1045"/>
    <customShpInfo spid="_x0000_s1044"/>
    <customShpInfo spid="_x0000_s1043"/>
    <customShpInfo spid="_x0000_s1041"/>
    <customShpInfo spid="_x0000_s1040"/>
    <customShpInfo spid="_x0000_s1039"/>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0FDC74-5020-46E4-A7C9-A2D8C4803582}">
  <ds:schemaRefs/>
</ds:datastoreItem>
</file>

<file path=docProps/app.xml><?xml version="1.0" encoding="utf-8"?>
<Properties xmlns="http://schemas.openxmlformats.org/officeDocument/2006/extended-properties" xmlns:vt="http://schemas.openxmlformats.org/officeDocument/2006/docPropsVTypes">
  <Template>简约文档封面模板</Template>
  <Pages>32</Pages>
  <Words>6439</Words>
  <Characters>929</Characters>
  <Lines>7</Lines>
  <Paragraphs>14</Paragraphs>
  <ScaleCrop>false</ScaleCrop>
  <LinksUpToDate>false</LinksUpToDate>
  <CharactersWithSpaces>7354</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Administrator</cp:lastModifiedBy>
  <cp:lastPrinted>2020-07-30T02:37:00Z</cp:lastPrinted>
  <dcterms:modified xsi:type="dcterms:W3CDTF">2021-05-26T09:09:05Z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